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bookmarkStart w:id="0" w:name="_GoBack"/>
            <w:bookmarkEnd w:id="0"/>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5E39" w:rsidP="00965E39">
            <w:pPr>
              <w:rPr>
                <w:b/>
              </w:rPr>
            </w:pPr>
            <w:r>
              <w:rPr>
                <w:rStyle w:val="Firstpagetablebold"/>
              </w:rPr>
              <w:t>20</w:t>
            </w:r>
            <w:r w:rsidR="00177372">
              <w:rPr>
                <w:rStyle w:val="Firstpagetablebold"/>
              </w:rPr>
              <w:t xml:space="preserve"> </w:t>
            </w:r>
            <w:r>
              <w:rPr>
                <w:rStyle w:val="Firstpagetablebold"/>
              </w:rPr>
              <w:t>June</w:t>
            </w:r>
            <w:r w:rsidR="00A51D06">
              <w:rPr>
                <w:rStyle w:val="Firstpagetablebold"/>
              </w:rPr>
              <w:t xml:space="preserve"> </w:t>
            </w:r>
            <w:r w:rsidR="00177372">
              <w:rPr>
                <w:rStyle w:val="Firstpagetablebold"/>
              </w:rPr>
              <w:t>201</w:t>
            </w:r>
            <w:r w:rsidR="00756358">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965E39">
            <w:pPr>
              <w:rPr>
                <w:rStyle w:val="Firstpagetablebold"/>
              </w:rPr>
            </w:pPr>
            <w:r>
              <w:rPr>
                <w:rStyle w:val="Firstpagetablebold"/>
              </w:rPr>
              <w:t xml:space="preserve">Integrated </w:t>
            </w:r>
            <w:r w:rsidR="004E27A6">
              <w:rPr>
                <w:rStyle w:val="Firstpagetablebold"/>
              </w:rPr>
              <w:t>Performance Report for Q</w:t>
            </w:r>
            <w:r w:rsidR="004D73C5">
              <w:rPr>
                <w:rStyle w:val="Firstpagetablebold"/>
              </w:rPr>
              <w:t xml:space="preserve">uarter </w:t>
            </w:r>
            <w:r w:rsidR="00965E39">
              <w:rPr>
                <w:rStyle w:val="Firstpagetablebold"/>
              </w:rPr>
              <w:t>4</w:t>
            </w:r>
            <w:r w:rsidR="00C00652">
              <w:rPr>
                <w:rStyle w:val="Firstpagetablebold"/>
              </w:rPr>
              <w:t xml:space="preserve"> 201</w:t>
            </w:r>
            <w:r w:rsidR="003F50F9">
              <w:rPr>
                <w:rStyle w:val="Firstpagetablebold"/>
              </w:rPr>
              <w:t>6</w:t>
            </w:r>
            <w:r w:rsidR="00C00652">
              <w:rPr>
                <w:rStyle w:val="Firstpagetablebold"/>
              </w:rPr>
              <w:t>/</w:t>
            </w:r>
            <w:r>
              <w:rPr>
                <w:rStyle w:val="Firstpagetablebold"/>
              </w:rPr>
              <w:t>1</w:t>
            </w:r>
            <w:r w:rsidR="003F50F9">
              <w:rPr>
                <w:rStyle w:val="Firstpagetablebold"/>
              </w:rPr>
              <w:t>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965E39">
            <w:r>
              <w:t xml:space="preserve">To update Members on Finance, Risk and Performance as at </w:t>
            </w:r>
            <w:r w:rsidR="00965E39">
              <w:t>the end of the financial year</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A85B0E">
            <w:r>
              <w:rPr>
                <w:rStyle w:val="Firstpagetablebold"/>
              </w:rPr>
              <w:t>Recommendation(s):</w:t>
            </w:r>
            <w:r w:rsidR="007E64F0">
              <w:rPr>
                <w:rStyle w:val="Firstpagetablebold"/>
              </w:rPr>
              <w:t xml:space="preserve"> </w:t>
            </w:r>
            <w:r>
              <w:rPr>
                <w:rStyle w:val="Firstpagetablebold"/>
              </w:rPr>
              <w:t>That the City Executive Board</w:t>
            </w:r>
            <w:r w:rsidR="00A85B0E">
              <w:rPr>
                <w:rStyle w:val="Firstpagetablebold"/>
              </w:rPr>
              <w:t xml:space="preserve"> resolves to</w:t>
            </w:r>
            <w:r>
              <w:rPr>
                <w:rStyle w:val="Firstpagetablebold"/>
              </w:rPr>
              <w:t>:</w:t>
            </w:r>
          </w:p>
        </w:tc>
      </w:tr>
      <w:tr w:rsidR="0030208D" w:rsidRPr="00975B07" w:rsidTr="00D77751">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965E39" w:rsidRDefault="00965E39" w:rsidP="00BD3A56">
            <w:pPr>
              <w:spacing w:before="120" w:after="0"/>
              <w:ind w:left="318"/>
            </w:pPr>
          </w:p>
          <w:p w:rsidR="00121043" w:rsidRDefault="000202F2" w:rsidP="00BD3A56">
            <w:pPr>
              <w:spacing w:before="120" w:after="0"/>
              <w:ind w:left="318"/>
            </w:pPr>
            <w:r>
              <w:t>2.</w:t>
            </w:r>
          </w:p>
          <w:p w:rsidR="00965E39" w:rsidRDefault="00965E39" w:rsidP="00BD3A56">
            <w:pPr>
              <w:spacing w:before="120" w:after="0"/>
              <w:ind w:left="318"/>
            </w:pPr>
          </w:p>
          <w:p w:rsidR="00965E39" w:rsidRDefault="00965E39" w:rsidP="00BD3A56">
            <w:pPr>
              <w:spacing w:before="120" w:after="0"/>
              <w:ind w:left="318"/>
            </w:pPr>
          </w:p>
          <w:p w:rsidR="00965E39" w:rsidRDefault="00965E39" w:rsidP="00BD3A56">
            <w:pPr>
              <w:spacing w:before="120" w:after="0"/>
              <w:ind w:left="318"/>
            </w:pPr>
            <w:r>
              <w:t>3.</w:t>
            </w:r>
          </w:p>
          <w:p w:rsidR="00965E39" w:rsidRDefault="00965E39" w:rsidP="00BD3A56">
            <w:pPr>
              <w:spacing w:before="120" w:after="0"/>
              <w:ind w:left="318"/>
            </w:pPr>
          </w:p>
          <w:p w:rsidR="00965E39" w:rsidRDefault="00965E39" w:rsidP="00BD3A56">
            <w:pPr>
              <w:spacing w:before="120" w:after="0"/>
              <w:ind w:left="318"/>
            </w:pPr>
            <w:r>
              <w:t>4.</w:t>
            </w:r>
          </w:p>
          <w:p w:rsidR="00965E39" w:rsidRDefault="00965E39" w:rsidP="00BD3A56">
            <w:pPr>
              <w:spacing w:before="120" w:after="0"/>
              <w:ind w:left="318"/>
            </w:pPr>
          </w:p>
          <w:p w:rsidR="003E74D0" w:rsidRDefault="003E74D0" w:rsidP="00BD3A56">
            <w:pPr>
              <w:spacing w:before="120" w:after="0"/>
              <w:ind w:left="318"/>
            </w:pPr>
          </w:p>
          <w:p w:rsidR="00965E39" w:rsidRPr="00975B07" w:rsidRDefault="00660B15" w:rsidP="00965E39">
            <w:pPr>
              <w:spacing w:before="120" w:after="0"/>
              <w:ind w:left="318"/>
            </w:pPr>
            <w:r>
              <w:t>5</w:t>
            </w:r>
          </w:p>
        </w:tc>
        <w:tc>
          <w:tcPr>
            <w:tcW w:w="7909" w:type="dxa"/>
            <w:gridSpan w:val="2"/>
            <w:tcBorders>
              <w:top w:val="single" w:sz="8" w:space="0" w:color="000000"/>
              <w:left w:val="nil"/>
              <w:bottom w:val="nil"/>
              <w:right w:val="single" w:sz="8" w:space="0" w:color="000000"/>
            </w:tcBorders>
            <w:shd w:val="clear" w:color="auto" w:fill="auto"/>
          </w:tcPr>
          <w:p w:rsidR="00DD512B" w:rsidRDefault="00A85B0E" w:rsidP="00BD3A56">
            <w:pPr>
              <w:spacing w:after="0"/>
              <w:rPr>
                <w:rStyle w:val="Firstpagetablebold"/>
                <w:b w:val="0"/>
              </w:rPr>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965E39">
              <w:rPr>
                <w:rStyle w:val="Firstpagetablebold"/>
                <w:b w:val="0"/>
              </w:rPr>
              <w:t>financial outturn and performance of the Council for the year 2016/17 and also the position on risks outstanding as at 31</w:t>
            </w:r>
            <w:r w:rsidR="00965E39" w:rsidRPr="00965E39">
              <w:rPr>
                <w:rStyle w:val="Firstpagetablebold"/>
                <w:b w:val="0"/>
                <w:vertAlign w:val="superscript"/>
              </w:rPr>
              <w:t>st</w:t>
            </w:r>
            <w:r w:rsidR="00965E39">
              <w:rPr>
                <w:rStyle w:val="Firstpagetablebold"/>
                <w:b w:val="0"/>
              </w:rPr>
              <w:t xml:space="preserve"> March 2017;</w:t>
            </w:r>
          </w:p>
          <w:p w:rsidR="000202F2" w:rsidRDefault="000202F2" w:rsidP="00BD3A56">
            <w:pPr>
              <w:spacing w:after="0"/>
              <w:rPr>
                <w:rStyle w:val="Firstpagetablebold"/>
                <w:b w:val="0"/>
              </w:rPr>
            </w:pPr>
          </w:p>
          <w:p w:rsidR="000202F2" w:rsidRDefault="00965E39" w:rsidP="00965E39">
            <w:pPr>
              <w:spacing w:after="0"/>
              <w:rPr>
                <w:rStyle w:val="Firstpagetablebold"/>
                <w:b w:val="0"/>
              </w:rPr>
            </w:pPr>
            <w:r>
              <w:rPr>
                <w:rStyle w:val="Firstpagetablebold"/>
                <w:b w:val="0"/>
              </w:rPr>
              <w:t xml:space="preserve">Agree the carry forward requests </w:t>
            </w:r>
            <w:r w:rsidR="00660B15">
              <w:rPr>
                <w:rStyle w:val="Firstpagetablebold"/>
                <w:b w:val="0"/>
              </w:rPr>
              <w:t xml:space="preserve">in respect of the General Fund </w:t>
            </w:r>
            <w:r>
              <w:rPr>
                <w:rStyle w:val="Firstpagetablebold"/>
                <w:b w:val="0"/>
              </w:rPr>
              <w:t xml:space="preserve">and recommend to Council the establishment of budgetary provision </w:t>
            </w:r>
            <w:r w:rsidR="00627684">
              <w:rPr>
                <w:rStyle w:val="Firstpagetablebold"/>
                <w:b w:val="0"/>
              </w:rPr>
              <w:t xml:space="preserve">of </w:t>
            </w:r>
            <w:r w:rsidR="00660B15">
              <w:rPr>
                <w:rStyle w:val="Firstpagetablebold"/>
                <w:b w:val="0"/>
              </w:rPr>
              <w:t xml:space="preserve">£745k </w:t>
            </w:r>
            <w:r>
              <w:rPr>
                <w:rStyle w:val="Firstpagetablebold"/>
                <w:b w:val="0"/>
              </w:rPr>
              <w:t>in respect of t</w:t>
            </w:r>
            <w:r w:rsidR="00E835AB">
              <w:rPr>
                <w:rStyle w:val="Firstpagetablebold"/>
                <w:b w:val="0"/>
              </w:rPr>
              <w:t>he new bids shown in paragraph 6</w:t>
            </w:r>
            <w:r>
              <w:rPr>
                <w:rStyle w:val="Firstpagetablebold"/>
                <w:b w:val="0"/>
              </w:rPr>
              <w:t xml:space="preserve"> and Appendix </w:t>
            </w:r>
            <w:r w:rsidR="00E835AB">
              <w:rPr>
                <w:rStyle w:val="Firstpagetablebold"/>
                <w:b w:val="0"/>
              </w:rPr>
              <w:t>D</w:t>
            </w:r>
            <w:r>
              <w:rPr>
                <w:rStyle w:val="Firstpagetablebold"/>
                <w:b w:val="0"/>
              </w:rPr>
              <w:t>;</w:t>
            </w:r>
          </w:p>
          <w:p w:rsidR="00965E39" w:rsidRDefault="00965E39" w:rsidP="00965E39">
            <w:pPr>
              <w:spacing w:after="0"/>
              <w:rPr>
                <w:rStyle w:val="Firstpagetablebold"/>
                <w:b w:val="0"/>
              </w:rPr>
            </w:pPr>
          </w:p>
          <w:p w:rsidR="00965E39" w:rsidRDefault="00965E39" w:rsidP="00965E39">
            <w:pPr>
              <w:spacing w:after="0"/>
              <w:rPr>
                <w:rStyle w:val="Firstpagetablebold"/>
                <w:b w:val="0"/>
              </w:rPr>
            </w:pPr>
            <w:r>
              <w:rPr>
                <w:rStyle w:val="Firstpagetablebold"/>
                <w:b w:val="0"/>
              </w:rPr>
              <w:t xml:space="preserve">Agree the transfer to </w:t>
            </w:r>
            <w:r w:rsidR="00AE4091">
              <w:rPr>
                <w:rStyle w:val="Firstpagetablebold"/>
                <w:b w:val="0"/>
              </w:rPr>
              <w:t xml:space="preserve">the </w:t>
            </w:r>
            <w:r>
              <w:rPr>
                <w:rStyle w:val="Firstpagetablebold"/>
                <w:b w:val="0"/>
              </w:rPr>
              <w:t xml:space="preserve">General Fund </w:t>
            </w:r>
            <w:r w:rsidR="00E40753">
              <w:rPr>
                <w:rStyle w:val="Firstpagetablebold"/>
                <w:b w:val="0"/>
              </w:rPr>
              <w:t>Capital</w:t>
            </w:r>
            <w:r w:rsidR="00660B15">
              <w:rPr>
                <w:rStyle w:val="Firstpagetablebold"/>
                <w:b w:val="0"/>
              </w:rPr>
              <w:t xml:space="preserve"> </w:t>
            </w:r>
            <w:r w:rsidR="00E40753">
              <w:rPr>
                <w:rStyle w:val="Firstpagetablebold"/>
                <w:b w:val="0"/>
              </w:rPr>
              <w:t>Financing</w:t>
            </w:r>
            <w:r w:rsidR="00660B15">
              <w:rPr>
                <w:rStyle w:val="Firstpagetablebold"/>
                <w:b w:val="0"/>
              </w:rPr>
              <w:t xml:space="preserve"> </w:t>
            </w:r>
            <w:r w:rsidR="00E40753">
              <w:rPr>
                <w:rStyle w:val="Firstpagetablebold"/>
                <w:b w:val="0"/>
              </w:rPr>
              <w:t>Reserve</w:t>
            </w:r>
            <w:r>
              <w:rPr>
                <w:rStyle w:val="Firstpagetablebold"/>
                <w:b w:val="0"/>
              </w:rPr>
              <w:t xml:space="preserve"> </w:t>
            </w:r>
            <w:r w:rsidR="00660B15">
              <w:rPr>
                <w:rStyle w:val="Firstpagetablebold"/>
                <w:b w:val="0"/>
              </w:rPr>
              <w:t xml:space="preserve">of £158k </w:t>
            </w:r>
            <w:r>
              <w:rPr>
                <w:rStyle w:val="Firstpagetablebold"/>
                <w:b w:val="0"/>
              </w:rPr>
              <w:t>detail</w:t>
            </w:r>
            <w:r w:rsidR="00E00881">
              <w:rPr>
                <w:rStyle w:val="Firstpagetablebold"/>
                <w:b w:val="0"/>
              </w:rPr>
              <w:t xml:space="preserve">ed </w:t>
            </w:r>
            <w:r>
              <w:rPr>
                <w:rStyle w:val="Firstpagetablebold"/>
                <w:b w:val="0"/>
              </w:rPr>
              <w:t xml:space="preserve">in paragraph </w:t>
            </w:r>
            <w:r w:rsidR="00660B15">
              <w:rPr>
                <w:rStyle w:val="Firstpagetablebold"/>
                <w:b w:val="0"/>
              </w:rPr>
              <w:t>2 a</w:t>
            </w:r>
            <w:r>
              <w:rPr>
                <w:rStyle w:val="Firstpagetablebold"/>
                <w:b w:val="0"/>
              </w:rPr>
              <w:t>;</w:t>
            </w:r>
            <w:r w:rsidR="00E00881">
              <w:rPr>
                <w:rStyle w:val="Firstpagetablebold"/>
                <w:b w:val="0"/>
              </w:rPr>
              <w:t xml:space="preserve"> and</w:t>
            </w:r>
          </w:p>
          <w:p w:rsidR="00965E39" w:rsidRDefault="00965E39" w:rsidP="00965E39">
            <w:pPr>
              <w:spacing w:after="0"/>
              <w:rPr>
                <w:rStyle w:val="Firstpagetablebold"/>
                <w:b w:val="0"/>
              </w:rPr>
            </w:pPr>
          </w:p>
          <w:p w:rsidR="00965E39" w:rsidRDefault="00965E39" w:rsidP="00965E39">
            <w:pPr>
              <w:spacing w:after="0"/>
              <w:rPr>
                <w:rStyle w:val="Firstpagetablebold"/>
                <w:b w:val="0"/>
              </w:rPr>
            </w:pPr>
            <w:r>
              <w:rPr>
                <w:rStyle w:val="Firstpagetablebold"/>
                <w:b w:val="0"/>
              </w:rPr>
              <w:t xml:space="preserve">Agree the </w:t>
            </w:r>
            <w:r w:rsidR="00660B15">
              <w:rPr>
                <w:rStyle w:val="Firstpagetablebold"/>
                <w:b w:val="0"/>
              </w:rPr>
              <w:t>carry forward requests outlined in paragraph 1</w:t>
            </w:r>
            <w:r w:rsidR="002E1770">
              <w:rPr>
                <w:rStyle w:val="Firstpagetablebold"/>
                <w:b w:val="0"/>
              </w:rPr>
              <w:t>5 and 16</w:t>
            </w:r>
            <w:r w:rsidR="00660B15">
              <w:rPr>
                <w:rStyle w:val="Firstpagetablebold"/>
                <w:b w:val="0"/>
              </w:rPr>
              <w:t xml:space="preserve"> in respect of the HRA as detailed in Appendix D</w:t>
            </w:r>
            <w:r w:rsidR="003E74D0">
              <w:rPr>
                <w:rStyle w:val="Firstpagetablebold"/>
                <w:b w:val="0"/>
              </w:rPr>
              <w:t xml:space="preserve"> and recommend to Council the establishment of budgetary provision of £300k in respect of the new bids.</w:t>
            </w:r>
            <w:r w:rsidR="00660B15">
              <w:rPr>
                <w:rStyle w:val="Firstpagetablebold"/>
                <w:b w:val="0"/>
              </w:rPr>
              <w:t xml:space="preserve"> </w:t>
            </w:r>
          </w:p>
          <w:p w:rsidR="00660B15" w:rsidRDefault="00660B15" w:rsidP="00660B15">
            <w:pPr>
              <w:spacing w:after="0"/>
              <w:ind w:hanging="1071"/>
              <w:rPr>
                <w:rStyle w:val="Firstpagetablebold"/>
                <w:b w:val="0"/>
              </w:rPr>
            </w:pPr>
            <w:r>
              <w:rPr>
                <w:rStyle w:val="Firstpagetablebold"/>
                <w:b w:val="0"/>
              </w:rPr>
              <w:t>5</w:t>
            </w:r>
          </w:p>
          <w:p w:rsidR="00660B15" w:rsidRDefault="00660B15" w:rsidP="00965E39">
            <w:pPr>
              <w:spacing w:after="0"/>
              <w:rPr>
                <w:rStyle w:val="Firstpagetablebold"/>
                <w:b w:val="0"/>
              </w:rPr>
            </w:pPr>
            <w:r>
              <w:rPr>
                <w:rStyle w:val="Firstpagetablebold"/>
                <w:b w:val="0"/>
              </w:rPr>
              <w:t>Agree the transfer to the HRA Capital Financing Reserve of £1.151 million detailed in paragraph 2 (c)</w:t>
            </w:r>
          </w:p>
          <w:p w:rsidR="00965E39" w:rsidRPr="001356F1" w:rsidRDefault="00660B15" w:rsidP="00660B15">
            <w:pPr>
              <w:spacing w:after="0"/>
              <w:ind w:hanging="1071"/>
            </w:pPr>
            <w:r>
              <w:rPr>
                <w:rStyle w:val="Firstpagetablebold"/>
                <w:b w:val="0"/>
              </w:rPr>
              <w:t>6</w:t>
            </w:r>
          </w:p>
        </w:tc>
      </w:tr>
      <w:tr w:rsidR="0030208D" w:rsidRPr="00975B07" w:rsidTr="00D77751">
        <w:trPr>
          <w:trHeight w:val="80"/>
        </w:trPr>
        <w:tc>
          <w:tcPr>
            <w:tcW w:w="1389" w:type="dxa"/>
            <w:tcBorders>
              <w:top w:val="nil"/>
              <w:left w:val="single" w:sz="8" w:space="0" w:color="000000"/>
              <w:bottom w:val="nil"/>
              <w:right w:val="nil"/>
            </w:tcBorders>
          </w:tcPr>
          <w:p w:rsidR="0030208D" w:rsidRPr="00975B07" w:rsidRDefault="00660B15" w:rsidP="003F50F9">
            <w:pPr>
              <w:ind w:left="318"/>
            </w:pPr>
            <w:r>
              <w:t>6</w:t>
            </w:r>
          </w:p>
        </w:tc>
        <w:tc>
          <w:tcPr>
            <w:tcW w:w="7909" w:type="dxa"/>
            <w:gridSpan w:val="2"/>
            <w:tcBorders>
              <w:top w:val="nil"/>
              <w:left w:val="nil"/>
              <w:bottom w:val="nil"/>
              <w:right w:val="single" w:sz="8" w:space="0" w:color="000000"/>
            </w:tcBorders>
            <w:shd w:val="clear" w:color="auto" w:fill="auto"/>
          </w:tcPr>
          <w:p w:rsidR="0067298D" w:rsidRPr="00660B15" w:rsidRDefault="00660B15" w:rsidP="002E1770">
            <w:pPr>
              <w:spacing w:after="0"/>
            </w:pPr>
            <w:r w:rsidRPr="00660B15">
              <w:t xml:space="preserve">Agree the transfer of </w:t>
            </w:r>
            <w:proofErr w:type="gramStart"/>
            <w:r w:rsidRPr="00660B15">
              <w:t>the</w:t>
            </w:r>
            <w:r w:rsidR="002E1770">
              <w:t xml:space="preserve"> </w:t>
            </w:r>
            <w:r w:rsidRPr="00660B15">
              <w:t>underspend</w:t>
            </w:r>
            <w:proofErr w:type="gramEnd"/>
            <w:r w:rsidRPr="00660B15">
              <w:t xml:space="preserve"> on the </w:t>
            </w:r>
            <w:r w:rsidR="00DB13DB">
              <w:t>Capital Programme</w:t>
            </w:r>
            <w:r w:rsidRPr="00660B15">
              <w:t xml:space="preserve"> of </w:t>
            </w:r>
            <w:r>
              <w:t xml:space="preserve">£219k </w:t>
            </w:r>
            <w:r w:rsidRPr="00660B15">
              <w:t xml:space="preserve">detailed in paragraph </w:t>
            </w:r>
            <w:r>
              <w:t>20</w:t>
            </w:r>
            <w:r w:rsidRPr="00660B15">
              <w:t xml:space="preserve"> to be returned to capital </w:t>
            </w:r>
            <w:r w:rsidR="00DB13DB">
              <w:t>Financing Rese</w:t>
            </w:r>
            <w:r w:rsidR="00703A6A">
              <w:t>rve.</w:t>
            </w:r>
          </w:p>
        </w:tc>
      </w:tr>
      <w:tr w:rsidR="00232F5B" w:rsidRPr="00975B07" w:rsidTr="00BD3A56">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Pr="00A85B0E" w:rsidRDefault="0030208D"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6B6ED9" w:rsidRDefault="00FD4134" w:rsidP="007333C3">
            <w:r>
              <w:t>Appendix D</w:t>
            </w:r>
          </w:p>
          <w:p w:rsidR="00953A87" w:rsidRDefault="00953A87" w:rsidP="007333C3">
            <w:r>
              <w:t>Appendix E</w:t>
            </w:r>
          </w:p>
          <w:p w:rsidR="00953A87" w:rsidRDefault="00953A87" w:rsidP="007333C3">
            <w:r>
              <w:t>Appendix F</w:t>
            </w:r>
          </w:p>
          <w:p w:rsidR="001E373D" w:rsidRDefault="001E373D" w:rsidP="007333C3">
            <w:r>
              <w:t>Appendix G</w:t>
            </w:r>
          </w:p>
          <w:p w:rsidR="007333C3" w:rsidRPr="00975B07" w:rsidRDefault="007333C3" w:rsidP="008159AF"/>
        </w:tc>
        <w:tc>
          <w:tcPr>
            <w:tcW w:w="6918" w:type="dxa"/>
            <w:tcBorders>
              <w:top w:val="nil"/>
              <w:left w:val="nil"/>
              <w:bottom w:val="single" w:sz="8" w:space="0" w:color="000000"/>
              <w:right w:val="single" w:sz="8" w:space="0" w:color="000000"/>
            </w:tcBorders>
          </w:tcPr>
          <w:p w:rsidR="00A91B9B" w:rsidRDefault="00965E39" w:rsidP="00A91B9B">
            <w:r>
              <w:t>General Fund Outturn</w:t>
            </w:r>
          </w:p>
          <w:p w:rsidR="00A91B9B" w:rsidRDefault="00965E39" w:rsidP="00A91B9B">
            <w:r>
              <w:t>Capital Programme</w:t>
            </w:r>
            <w:r w:rsidR="00A91B9B">
              <w:t xml:space="preserve"> Outturn</w:t>
            </w:r>
          </w:p>
          <w:p w:rsidR="00A91B9B" w:rsidRDefault="00965E39" w:rsidP="00A91B9B">
            <w:r>
              <w:t>HRA</w:t>
            </w:r>
            <w:r w:rsidR="00A91B9B">
              <w:t xml:space="preserve"> Outturn</w:t>
            </w:r>
          </w:p>
          <w:p w:rsidR="00304AD6" w:rsidRDefault="00965E39" w:rsidP="004D73C5">
            <w:pPr>
              <w:tabs>
                <w:tab w:val="left" w:pos="2160"/>
              </w:tabs>
            </w:pPr>
            <w:r>
              <w:t xml:space="preserve">Carry Forward </w:t>
            </w:r>
            <w:r w:rsidR="00953A87">
              <w:t>Requests and New Bids</w:t>
            </w:r>
          </w:p>
          <w:p w:rsidR="006B6ED9" w:rsidRDefault="006B6ED9" w:rsidP="004D73C5">
            <w:pPr>
              <w:tabs>
                <w:tab w:val="left" w:pos="2160"/>
              </w:tabs>
            </w:pPr>
            <w:r>
              <w:t xml:space="preserve">Depot Extension </w:t>
            </w:r>
            <w:r w:rsidR="00A94633">
              <w:t xml:space="preserve">and associated improvements to local area </w:t>
            </w:r>
            <w:r>
              <w:t>Business Case</w:t>
            </w:r>
          </w:p>
          <w:p w:rsidR="00953A87" w:rsidRDefault="00953A87" w:rsidP="004D73C5">
            <w:pPr>
              <w:tabs>
                <w:tab w:val="left" w:pos="2160"/>
              </w:tabs>
            </w:pPr>
            <w:r>
              <w:t>Corporate Risks</w:t>
            </w:r>
          </w:p>
          <w:p w:rsidR="00953A87" w:rsidRPr="00964187" w:rsidRDefault="001E373D" w:rsidP="008159AF">
            <w:pPr>
              <w:tabs>
                <w:tab w:val="left" w:pos="2160"/>
              </w:tabs>
            </w:pPr>
            <w:r>
              <w:t>Corporate Performance Outturn</w:t>
            </w:r>
          </w:p>
        </w:tc>
      </w:tr>
    </w:tbl>
    <w:p w:rsidR="00BD3A56" w:rsidRDefault="00BD3A56" w:rsidP="004A6D2F">
      <w:pPr>
        <w:pStyle w:val="Heading1"/>
        <w:rPr>
          <w:color w:val="auto"/>
        </w:rPr>
      </w:pPr>
    </w:p>
    <w:p w:rsidR="0040736F" w:rsidRPr="00076268" w:rsidRDefault="00121043" w:rsidP="004A6D2F">
      <w:pPr>
        <w:pStyle w:val="Heading1"/>
        <w:rPr>
          <w:color w:val="auto"/>
        </w:rPr>
      </w:pPr>
      <w:r w:rsidRPr="00076268">
        <w:rPr>
          <w:color w:val="auto"/>
        </w:rPr>
        <w:t>I</w:t>
      </w:r>
      <w:r w:rsidR="00F66DCA" w:rsidRPr="00076268">
        <w:rPr>
          <w:color w:val="auto"/>
        </w:rPr>
        <w:t>ntroduction and b</w:t>
      </w:r>
      <w:r w:rsidR="00151888" w:rsidRPr="00076268">
        <w:rPr>
          <w:color w:val="auto"/>
        </w:rPr>
        <w:t>ackground</w:t>
      </w:r>
      <w:r w:rsidR="00404032" w:rsidRPr="00076268">
        <w:rPr>
          <w:color w:val="auto"/>
        </w:rPr>
        <w:t xml:space="preserve"> </w:t>
      </w:r>
    </w:p>
    <w:p w:rsidR="00FB70AC" w:rsidRPr="00076268" w:rsidRDefault="00FB70AC" w:rsidP="00FB70AC">
      <w:pPr>
        <w:pStyle w:val="ListParagraph"/>
        <w:rPr>
          <w:color w:val="auto"/>
        </w:rPr>
      </w:pPr>
      <w:r w:rsidRPr="00076268">
        <w:rPr>
          <w:color w:val="auto"/>
        </w:rPr>
        <w:t xml:space="preserve">This report </w:t>
      </w:r>
      <w:r w:rsidR="007333C3" w:rsidRPr="00076268">
        <w:rPr>
          <w:color w:val="auto"/>
        </w:rPr>
        <w:t xml:space="preserve">updates the Board on </w:t>
      </w:r>
      <w:r w:rsidR="00B732B4">
        <w:rPr>
          <w:color w:val="auto"/>
        </w:rPr>
        <w:t xml:space="preserve">the </w:t>
      </w:r>
      <w:r w:rsidR="00953A87">
        <w:rPr>
          <w:color w:val="auto"/>
        </w:rPr>
        <w:t xml:space="preserve">performance of the Council for 2016/17 together with </w:t>
      </w:r>
      <w:r w:rsidR="00673910">
        <w:rPr>
          <w:color w:val="auto"/>
        </w:rPr>
        <w:t>the</w:t>
      </w:r>
      <w:r w:rsidR="00953A87">
        <w:rPr>
          <w:color w:val="auto"/>
        </w:rPr>
        <w:t xml:space="preserve"> corporate and service risks faced as at 31 March 2017.  A brief summary is as follows</w:t>
      </w:r>
      <w:r w:rsidRPr="00076268">
        <w:rPr>
          <w:color w:val="auto"/>
        </w:rPr>
        <w:t>:</w:t>
      </w:r>
    </w:p>
    <w:p w:rsidR="00FB70AC" w:rsidRPr="00076268" w:rsidRDefault="002A15EC" w:rsidP="00FB70AC">
      <w:pPr>
        <w:pStyle w:val="ListParagraph"/>
        <w:rPr>
          <w:color w:val="auto"/>
        </w:rPr>
      </w:pPr>
      <w:r w:rsidRPr="00076268">
        <w:rPr>
          <w:b/>
          <w:color w:val="auto"/>
        </w:rPr>
        <w:t>Financial</w:t>
      </w:r>
      <w:r w:rsidRPr="00076268">
        <w:rPr>
          <w:color w:val="auto"/>
        </w:rPr>
        <w:t xml:space="preserve"> </w:t>
      </w:r>
      <w:r w:rsidR="006C483B" w:rsidRPr="00076268">
        <w:rPr>
          <w:b/>
          <w:color w:val="auto"/>
        </w:rPr>
        <w:t>Position</w:t>
      </w:r>
    </w:p>
    <w:p w:rsidR="00136FB7" w:rsidRPr="00953A87" w:rsidRDefault="00C2674F" w:rsidP="00DC1F43">
      <w:pPr>
        <w:pStyle w:val="ListParagraph"/>
        <w:numPr>
          <w:ilvl w:val="1"/>
          <w:numId w:val="2"/>
        </w:numPr>
        <w:rPr>
          <w:color w:val="auto"/>
        </w:rPr>
      </w:pPr>
      <w:r w:rsidRPr="00076268">
        <w:rPr>
          <w:rFonts w:cs="Arial"/>
          <w:b/>
          <w:color w:val="auto"/>
        </w:rPr>
        <w:t>General Fund</w:t>
      </w:r>
      <w:r w:rsidRPr="00076268">
        <w:rPr>
          <w:rFonts w:cs="Arial"/>
          <w:color w:val="auto"/>
        </w:rPr>
        <w:t xml:space="preserve"> –</w:t>
      </w:r>
      <w:r w:rsidR="00C72FE8">
        <w:rPr>
          <w:rFonts w:cs="Arial"/>
          <w:color w:val="auto"/>
        </w:rPr>
        <w:t xml:space="preserve"> The overall surplus on the General Fund is £2.348 million, of which £2.190 million has been proposed as a carry forward into 2017-18.  £1.444 </w:t>
      </w:r>
      <w:r w:rsidR="004D0FD0">
        <w:rPr>
          <w:rFonts w:cs="Arial"/>
          <w:color w:val="auto"/>
        </w:rPr>
        <w:t xml:space="preserve">million </w:t>
      </w:r>
      <w:r w:rsidR="00C72FE8">
        <w:rPr>
          <w:rFonts w:cs="Arial"/>
          <w:color w:val="auto"/>
        </w:rPr>
        <w:t>of this is for committed schemes and £0.745 million is for new schemes.  If these carry forwards are agreed</w:t>
      </w:r>
      <w:r w:rsidRPr="00076268">
        <w:rPr>
          <w:rFonts w:cs="Arial"/>
          <w:color w:val="auto"/>
        </w:rPr>
        <w:t xml:space="preserve"> </w:t>
      </w:r>
      <w:r w:rsidR="004D0FD0">
        <w:rPr>
          <w:rFonts w:cs="Arial"/>
          <w:color w:val="auto"/>
        </w:rPr>
        <w:t xml:space="preserve">in line with the recommendation,  </w:t>
      </w:r>
      <w:r w:rsidR="00B80341">
        <w:rPr>
          <w:rFonts w:cs="Arial"/>
          <w:color w:val="auto"/>
        </w:rPr>
        <w:t xml:space="preserve">the remaining </w:t>
      </w:r>
      <w:r w:rsidR="00E8497C">
        <w:rPr>
          <w:rFonts w:cs="Arial"/>
          <w:color w:val="auto"/>
        </w:rPr>
        <w:t xml:space="preserve"> £0.158 million </w:t>
      </w:r>
      <w:r w:rsidR="00C72FE8">
        <w:rPr>
          <w:rFonts w:cs="Arial"/>
          <w:color w:val="auto"/>
        </w:rPr>
        <w:t xml:space="preserve">will be </w:t>
      </w:r>
      <w:r w:rsidR="008159AF">
        <w:rPr>
          <w:rFonts w:cs="Arial"/>
          <w:color w:val="auto"/>
        </w:rPr>
        <w:t>transferred to the Capital Financing Reserve</w:t>
      </w:r>
      <w:r w:rsidR="00E141C6" w:rsidRPr="00076268">
        <w:rPr>
          <w:rFonts w:cs="Arial"/>
          <w:color w:val="auto"/>
        </w:rPr>
        <w:t>;</w:t>
      </w:r>
    </w:p>
    <w:p w:rsidR="00953A87" w:rsidRPr="00076268" w:rsidRDefault="00953A87" w:rsidP="00DC1F43">
      <w:pPr>
        <w:pStyle w:val="ListParagraph"/>
        <w:numPr>
          <w:ilvl w:val="1"/>
          <w:numId w:val="2"/>
        </w:numPr>
        <w:rPr>
          <w:color w:val="auto"/>
        </w:rPr>
      </w:pPr>
      <w:r>
        <w:rPr>
          <w:rFonts w:cs="Arial"/>
          <w:b/>
          <w:color w:val="auto"/>
        </w:rPr>
        <w:t xml:space="preserve">Efficiencies, Fees and Charges and Service Reduction Targets </w:t>
      </w:r>
      <w:r>
        <w:rPr>
          <w:color w:val="auto"/>
        </w:rPr>
        <w:t>– at year end the actual was £1,749,000 against a target of £1,758,000.  The shortfall was due to some income targets not being met</w:t>
      </w:r>
      <w:r w:rsidR="00BA597C">
        <w:rPr>
          <w:color w:val="auto"/>
        </w:rPr>
        <w:t xml:space="preserve"> as previously reported</w:t>
      </w:r>
      <w:r>
        <w:rPr>
          <w:color w:val="auto"/>
        </w:rPr>
        <w:t>.</w:t>
      </w:r>
    </w:p>
    <w:p w:rsidR="001121C1" w:rsidRPr="006C6A27" w:rsidRDefault="00C2674F" w:rsidP="006C6A27">
      <w:pPr>
        <w:pStyle w:val="ListParagraph"/>
      </w:pPr>
      <w:r w:rsidRPr="006C6A27">
        <w:rPr>
          <w:b/>
        </w:rPr>
        <w:t>Housing Revenue Account</w:t>
      </w:r>
      <w:r w:rsidRPr="006C6A27">
        <w:t xml:space="preserve"> – </w:t>
      </w:r>
      <w:r w:rsidR="00C72FE8" w:rsidRPr="006C6A27">
        <w:t>The overall surplus on the HRA is £</w:t>
      </w:r>
      <w:r w:rsidR="00CE38D2" w:rsidRPr="006C6A27">
        <w:t>0.</w:t>
      </w:r>
      <w:r w:rsidR="006C6A27" w:rsidRPr="006C6A27">
        <w:t>386</w:t>
      </w:r>
      <w:r w:rsidR="00C72FE8" w:rsidRPr="006C6A27">
        <w:t xml:space="preserve"> million</w:t>
      </w:r>
      <w:r w:rsidR="006C6A27" w:rsidRPr="006C6A27">
        <w:t xml:space="preserve">. It is recommended to </w:t>
      </w:r>
      <w:r w:rsidR="00B80341" w:rsidRPr="006C6A27">
        <w:t>carr</w:t>
      </w:r>
      <w:r w:rsidR="003974D3" w:rsidRPr="006C6A27">
        <w:t>y</w:t>
      </w:r>
      <w:r w:rsidR="00B80341" w:rsidRPr="006C6A27">
        <w:t xml:space="preserve"> forward </w:t>
      </w:r>
      <w:r w:rsidR="006C6A27" w:rsidRPr="006C6A27">
        <w:t xml:space="preserve">this amount </w:t>
      </w:r>
      <w:r w:rsidR="00CF4E15" w:rsidRPr="006C6A27">
        <w:t>in</w:t>
      </w:r>
      <w:r w:rsidR="00B80341" w:rsidRPr="006C6A27">
        <w:t xml:space="preserve">to </w:t>
      </w:r>
      <w:r w:rsidR="00C12317" w:rsidRPr="006C6A27">
        <w:t>2017-18</w:t>
      </w:r>
      <w:r w:rsidR="00B80341" w:rsidRPr="006C6A27">
        <w:t>,</w:t>
      </w:r>
      <w:r w:rsidR="00C12317" w:rsidRPr="006C6A27">
        <w:t xml:space="preserve"> </w:t>
      </w:r>
      <w:r w:rsidR="00CE38D2" w:rsidRPr="006C6A27">
        <w:t xml:space="preserve">£0.300 million of which is for new schemes and £0.086 million </w:t>
      </w:r>
      <w:r w:rsidR="00C12317" w:rsidRPr="006C6A27">
        <w:t xml:space="preserve"> is for currently committed schemes</w:t>
      </w:r>
    </w:p>
    <w:p w:rsidR="00C2674F" w:rsidRPr="0094198E" w:rsidRDefault="00C2674F" w:rsidP="002873F1">
      <w:pPr>
        <w:pStyle w:val="ListParagraph"/>
        <w:numPr>
          <w:ilvl w:val="1"/>
          <w:numId w:val="2"/>
        </w:numPr>
        <w:rPr>
          <w:color w:val="auto"/>
        </w:rPr>
      </w:pPr>
      <w:r w:rsidRPr="006C6A27">
        <w:rPr>
          <w:rFonts w:cs="Arial"/>
          <w:b/>
          <w:color w:val="auto"/>
        </w:rPr>
        <w:t>Capital Programme</w:t>
      </w:r>
      <w:r w:rsidRPr="006C6A27">
        <w:rPr>
          <w:rFonts w:cs="Arial"/>
          <w:color w:val="auto"/>
        </w:rPr>
        <w:t xml:space="preserve"> – the </w:t>
      </w:r>
      <w:r w:rsidR="00136EB8" w:rsidRPr="006C6A27">
        <w:rPr>
          <w:rFonts w:cs="Arial"/>
          <w:color w:val="auto"/>
        </w:rPr>
        <w:t xml:space="preserve">outturn </w:t>
      </w:r>
      <w:r w:rsidR="00D3622B" w:rsidRPr="006C6A27">
        <w:rPr>
          <w:rFonts w:cs="Arial"/>
          <w:color w:val="auto"/>
        </w:rPr>
        <w:t>spend</w:t>
      </w:r>
      <w:r w:rsidR="00E141C6" w:rsidRPr="006C6A27">
        <w:rPr>
          <w:rFonts w:cs="Arial"/>
          <w:color w:val="auto"/>
        </w:rPr>
        <w:t xml:space="preserve"> is </w:t>
      </w:r>
      <w:r w:rsidR="00D3622B" w:rsidRPr="006C6A27">
        <w:rPr>
          <w:rFonts w:cs="Arial"/>
          <w:color w:val="auto"/>
        </w:rPr>
        <w:t>£32.526</w:t>
      </w:r>
      <w:r w:rsidR="00206B28" w:rsidRPr="006C6A27">
        <w:rPr>
          <w:rFonts w:cs="Arial"/>
          <w:color w:val="auto"/>
        </w:rPr>
        <w:t xml:space="preserve"> </w:t>
      </w:r>
      <w:r w:rsidR="00E141C6" w:rsidRPr="006C6A27">
        <w:rPr>
          <w:rFonts w:cs="Arial"/>
          <w:color w:val="auto"/>
        </w:rPr>
        <w:t>million</w:t>
      </w:r>
      <w:r w:rsidR="00B80341" w:rsidRPr="006C6A27">
        <w:rPr>
          <w:rFonts w:cs="Arial"/>
          <w:color w:val="auto"/>
        </w:rPr>
        <w:t>,</w:t>
      </w:r>
      <w:r w:rsidR="005E6A9E" w:rsidRPr="006C6A27">
        <w:rPr>
          <w:rFonts w:cs="Arial"/>
          <w:color w:val="auto"/>
        </w:rPr>
        <w:t xml:space="preserve"> a favourable</w:t>
      </w:r>
      <w:r w:rsidR="005E6A9E">
        <w:rPr>
          <w:rFonts w:cs="Arial"/>
          <w:color w:val="auto"/>
        </w:rPr>
        <w:t xml:space="preserve"> variance of (£3,750) million against the latest budget.  </w:t>
      </w:r>
      <w:r w:rsidR="00F26F53">
        <w:rPr>
          <w:rFonts w:cs="Arial"/>
          <w:color w:val="auto"/>
        </w:rPr>
        <w:t>Of this (£3.531) million is slippage, which will be carried forward into future years and (£0.219) million is underspen</w:t>
      </w:r>
      <w:r w:rsidR="002E1770">
        <w:rPr>
          <w:rFonts w:cs="Arial"/>
          <w:color w:val="auto"/>
        </w:rPr>
        <w:t xml:space="preserve">d on </w:t>
      </w:r>
      <w:r w:rsidR="00F26F53">
        <w:rPr>
          <w:rFonts w:cs="Arial"/>
          <w:color w:val="auto"/>
        </w:rPr>
        <w:t xml:space="preserve">schemes, which will be transferred into Capital Financing Reserve.  </w:t>
      </w:r>
      <w:r w:rsidR="005E6A9E">
        <w:rPr>
          <w:rFonts w:cs="Arial"/>
          <w:color w:val="auto"/>
        </w:rPr>
        <w:t xml:space="preserve">The actual spend equates to </w:t>
      </w:r>
      <w:r w:rsidR="00D3622B">
        <w:rPr>
          <w:rFonts w:cs="Arial"/>
          <w:color w:val="auto"/>
        </w:rPr>
        <w:t>78% of the original budget</w:t>
      </w:r>
      <w:r w:rsidR="005E6A9E">
        <w:rPr>
          <w:rFonts w:cs="Arial"/>
          <w:color w:val="auto"/>
        </w:rPr>
        <w:t xml:space="preserve"> of £41.874 million</w:t>
      </w:r>
      <w:r w:rsidR="00D3622B">
        <w:rPr>
          <w:rFonts w:cs="Arial"/>
          <w:color w:val="auto"/>
        </w:rPr>
        <w:t>.</w:t>
      </w:r>
    </w:p>
    <w:p w:rsidR="00C2674F" w:rsidRPr="00676725" w:rsidRDefault="00C2674F" w:rsidP="00FB70AC">
      <w:pPr>
        <w:pStyle w:val="ListParagraph"/>
        <w:rPr>
          <w:color w:val="auto"/>
        </w:rPr>
      </w:pPr>
      <w:r w:rsidRPr="008161BB">
        <w:rPr>
          <w:b/>
          <w:color w:val="auto"/>
        </w:rPr>
        <w:t>Performance</w:t>
      </w:r>
      <w:r w:rsidRPr="008161BB">
        <w:rPr>
          <w:color w:val="auto"/>
        </w:rPr>
        <w:t xml:space="preserve"> </w:t>
      </w:r>
      <w:r w:rsidR="00D45E2B" w:rsidRPr="002E1770">
        <w:rPr>
          <w:color w:val="auto"/>
        </w:rPr>
        <w:t>–</w:t>
      </w:r>
      <w:r w:rsidRPr="002E1770">
        <w:rPr>
          <w:color w:val="auto"/>
        </w:rPr>
        <w:t xml:space="preserve"> </w:t>
      </w:r>
      <w:r w:rsidR="008161BB" w:rsidRPr="002E1770">
        <w:rPr>
          <w:color w:val="auto"/>
        </w:rPr>
        <w:t>80</w:t>
      </w:r>
      <w:r w:rsidR="00E141C6" w:rsidRPr="002E1770">
        <w:rPr>
          <w:rFonts w:cs="Arial"/>
          <w:color w:val="auto"/>
        </w:rPr>
        <w:t>% (</w:t>
      </w:r>
      <w:r w:rsidR="001B0394" w:rsidRPr="002E1770">
        <w:rPr>
          <w:rFonts w:cs="Arial"/>
          <w:color w:val="auto"/>
        </w:rPr>
        <w:t>1</w:t>
      </w:r>
      <w:r w:rsidR="008161BB" w:rsidRPr="008161BB">
        <w:rPr>
          <w:rFonts w:cs="Arial"/>
          <w:color w:val="auto"/>
        </w:rPr>
        <w:t>2</w:t>
      </w:r>
      <w:r w:rsidR="00E141C6" w:rsidRPr="008161BB">
        <w:rPr>
          <w:rFonts w:cs="Arial"/>
          <w:color w:val="auto"/>
        </w:rPr>
        <w:t xml:space="preserve">) of the </w:t>
      </w:r>
      <w:proofErr w:type="gramStart"/>
      <w:r w:rsidR="00E141C6" w:rsidRPr="008161BB">
        <w:rPr>
          <w:rFonts w:cs="Arial"/>
          <w:color w:val="auto"/>
        </w:rPr>
        <w:t>C</w:t>
      </w:r>
      <w:r w:rsidR="00D3622B" w:rsidRPr="008161BB">
        <w:rPr>
          <w:rFonts w:cs="Arial"/>
          <w:color w:val="auto"/>
        </w:rPr>
        <w:t>orporate</w:t>
      </w:r>
      <w:proofErr w:type="gramEnd"/>
      <w:r w:rsidR="00E141C6" w:rsidRPr="008161BB">
        <w:rPr>
          <w:rFonts w:cs="Arial"/>
          <w:color w:val="auto"/>
        </w:rPr>
        <w:t xml:space="preserve"> performance targets </w:t>
      </w:r>
      <w:r w:rsidR="00D3622B" w:rsidRPr="008161BB">
        <w:rPr>
          <w:rFonts w:cs="Arial"/>
          <w:color w:val="auto"/>
        </w:rPr>
        <w:t>were</w:t>
      </w:r>
      <w:r w:rsidR="00CC118B" w:rsidRPr="008161BB">
        <w:rPr>
          <w:rFonts w:cs="Arial"/>
          <w:color w:val="auto"/>
        </w:rPr>
        <w:t xml:space="preserve"> </w:t>
      </w:r>
      <w:r w:rsidR="00D3622B" w:rsidRPr="008161BB">
        <w:rPr>
          <w:rFonts w:cs="Arial"/>
          <w:color w:val="auto"/>
        </w:rPr>
        <w:t>delivered as planned and 20</w:t>
      </w:r>
      <w:r w:rsidR="00E141C6" w:rsidRPr="002E1770">
        <w:rPr>
          <w:rFonts w:cs="Arial"/>
          <w:color w:val="auto"/>
        </w:rPr>
        <w:t>% (</w:t>
      </w:r>
      <w:r w:rsidR="00D3622B" w:rsidRPr="002E1770">
        <w:rPr>
          <w:rFonts w:cs="Arial"/>
          <w:color w:val="auto"/>
        </w:rPr>
        <w:t>3</w:t>
      </w:r>
      <w:r w:rsidR="00E141C6" w:rsidRPr="008161BB">
        <w:rPr>
          <w:rFonts w:cs="Arial"/>
          <w:color w:val="auto"/>
        </w:rPr>
        <w:t>)</w:t>
      </w:r>
      <w:r w:rsidR="00D3622B">
        <w:rPr>
          <w:rFonts w:cs="Arial"/>
          <w:color w:val="auto"/>
        </w:rPr>
        <w:t xml:space="preserve"> </w:t>
      </w:r>
      <w:r w:rsidR="002E1770">
        <w:rPr>
          <w:rFonts w:cs="Arial"/>
          <w:color w:val="auto"/>
        </w:rPr>
        <w:t xml:space="preserve">were marginally short of </w:t>
      </w:r>
      <w:r w:rsidR="00D3622B">
        <w:rPr>
          <w:rFonts w:cs="Arial"/>
          <w:color w:val="auto"/>
        </w:rPr>
        <w:t xml:space="preserve">target; individual performance targets are detailed in Appendix </w:t>
      </w:r>
      <w:r w:rsidR="009E1E1D">
        <w:rPr>
          <w:rFonts w:cs="Arial"/>
          <w:color w:val="auto"/>
        </w:rPr>
        <w:t>G</w:t>
      </w:r>
      <w:r w:rsidR="00D3622B">
        <w:rPr>
          <w:rFonts w:cs="Arial"/>
          <w:color w:val="auto"/>
        </w:rPr>
        <w:t>.</w:t>
      </w:r>
      <w:r w:rsidR="005E6A9E">
        <w:rPr>
          <w:rFonts w:cs="Arial"/>
          <w:color w:val="auto"/>
        </w:rPr>
        <w:t xml:space="preserve">  </w:t>
      </w:r>
    </w:p>
    <w:p w:rsidR="00C2674F" w:rsidRPr="00627684" w:rsidRDefault="006C483B" w:rsidP="00FB70AC">
      <w:pPr>
        <w:pStyle w:val="ListParagraph"/>
        <w:rPr>
          <w:color w:val="auto"/>
        </w:rPr>
      </w:pPr>
      <w:r w:rsidRPr="00676725">
        <w:rPr>
          <w:rFonts w:cs="Arial"/>
          <w:b/>
          <w:color w:val="auto"/>
        </w:rPr>
        <w:t xml:space="preserve">Corporate </w:t>
      </w:r>
      <w:r w:rsidR="00C2674F" w:rsidRPr="00676725">
        <w:rPr>
          <w:rFonts w:cs="Arial"/>
          <w:b/>
          <w:color w:val="auto"/>
        </w:rPr>
        <w:t>Risk Management</w:t>
      </w:r>
      <w:r w:rsidR="00650642" w:rsidRPr="00676725">
        <w:rPr>
          <w:rFonts w:cs="Arial"/>
          <w:color w:val="auto"/>
        </w:rPr>
        <w:t xml:space="preserve"> – There </w:t>
      </w:r>
      <w:r w:rsidR="00D3622B">
        <w:rPr>
          <w:rFonts w:cs="Arial"/>
          <w:color w:val="auto"/>
        </w:rPr>
        <w:t>is one</w:t>
      </w:r>
      <w:r w:rsidR="00F67E17" w:rsidRPr="00676725">
        <w:rPr>
          <w:rFonts w:cs="Arial"/>
          <w:color w:val="auto"/>
        </w:rPr>
        <w:t xml:space="preserve"> </w:t>
      </w:r>
      <w:r w:rsidR="000119EC" w:rsidRPr="00676725">
        <w:rPr>
          <w:rFonts w:cs="Arial"/>
          <w:color w:val="auto"/>
        </w:rPr>
        <w:t xml:space="preserve">red </w:t>
      </w:r>
      <w:r w:rsidR="00C2674F" w:rsidRPr="00676725">
        <w:rPr>
          <w:rFonts w:cs="Arial"/>
          <w:color w:val="auto"/>
        </w:rPr>
        <w:t>corporate risk</w:t>
      </w:r>
      <w:r w:rsidR="00D3622B">
        <w:rPr>
          <w:rFonts w:cs="Arial"/>
          <w:color w:val="auto"/>
        </w:rPr>
        <w:t xml:space="preserve"> and 5 Amber risks, these are detailed </w:t>
      </w:r>
      <w:r w:rsidR="008159AF">
        <w:rPr>
          <w:rFonts w:cs="Arial"/>
          <w:color w:val="auto"/>
        </w:rPr>
        <w:t xml:space="preserve">in </w:t>
      </w:r>
      <w:r w:rsidR="00E835AB">
        <w:rPr>
          <w:rFonts w:cs="Arial"/>
          <w:color w:val="auto"/>
        </w:rPr>
        <w:t>paragraph 2</w:t>
      </w:r>
      <w:r w:rsidR="005A7A7A">
        <w:rPr>
          <w:rFonts w:cs="Arial"/>
          <w:color w:val="auto"/>
        </w:rPr>
        <w:t>4</w:t>
      </w:r>
      <w:r w:rsidR="002E1770">
        <w:rPr>
          <w:rFonts w:cs="Arial"/>
          <w:color w:val="auto"/>
        </w:rPr>
        <w:t>-25</w:t>
      </w:r>
      <w:r w:rsidR="008159AF">
        <w:rPr>
          <w:rFonts w:cs="Arial"/>
          <w:color w:val="auto"/>
        </w:rPr>
        <w:t xml:space="preserve"> and in Appendix F</w:t>
      </w:r>
      <w:r w:rsidR="00D3622B">
        <w:rPr>
          <w:rFonts w:cs="Arial"/>
          <w:color w:val="auto"/>
        </w:rPr>
        <w:t>.</w:t>
      </w:r>
    </w:p>
    <w:p w:rsidR="00627684" w:rsidRPr="00676725" w:rsidRDefault="00627684" w:rsidP="00627684">
      <w:pPr>
        <w:pStyle w:val="ListParagraph"/>
        <w:numPr>
          <w:ilvl w:val="0"/>
          <w:numId w:val="0"/>
        </w:numPr>
        <w:ind w:left="426"/>
        <w:rPr>
          <w:color w:val="auto"/>
        </w:rPr>
      </w:pPr>
    </w:p>
    <w:p w:rsidR="00536A53" w:rsidRPr="00C47889" w:rsidRDefault="00536A53" w:rsidP="00C11950">
      <w:pPr>
        <w:pStyle w:val="ListParagraph"/>
        <w:numPr>
          <w:ilvl w:val="0"/>
          <w:numId w:val="0"/>
        </w:numPr>
        <w:ind w:left="426" w:hanging="426"/>
        <w:rPr>
          <w:b/>
          <w:color w:val="auto"/>
        </w:rPr>
      </w:pPr>
      <w:r w:rsidRPr="00763052">
        <w:rPr>
          <w:b/>
          <w:color w:val="auto"/>
        </w:rPr>
        <w:t>General Fund Revenue</w:t>
      </w:r>
    </w:p>
    <w:p w:rsidR="00E141C6" w:rsidRDefault="001757B4" w:rsidP="009212B2">
      <w:pPr>
        <w:pStyle w:val="ListParagraph"/>
        <w:rPr>
          <w:color w:val="auto"/>
        </w:rPr>
      </w:pPr>
      <w:r>
        <w:rPr>
          <w:color w:val="auto"/>
        </w:rPr>
        <w:t xml:space="preserve">The General Fund is showing a favourable variance </w:t>
      </w:r>
      <w:r w:rsidRPr="005E6A9E">
        <w:rPr>
          <w:color w:val="auto"/>
        </w:rPr>
        <w:t xml:space="preserve">of </w:t>
      </w:r>
      <w:r w:rsidR="005E6A9E" w:rsidRPr="005E6A9E">
        <w:rPr>
          <w:color w:val="auto"/>
        </w:rPr>
        <w:t>(</w:t>
      </w:r>
      <w:r w:rsidRPr="005E6A9E">
        <w:rPr>
          <w:color w:val="auto"/>
        </w:rPr>
        <w:t>£2.</w:t>
      </w:r>
      <w:r w:rsidR="00E96D58" w:rsidRPr="005E6A9E">
        <w:rPr>
          <w:color w:val="auto"/>
        </w:rPr>
        <w:t>348</w:t>
      </w:r>
      <w:r w:rsidR="005E6A9E">
        <w:rPr>
          <w:color w:val="auto"/>
        </w:rPr>
        <w:t>)</w:t>
      </w:r>
      <w:r>
        <w:rPr>
          <w:color w:val="auto"/>
        </w:rPr>
        <w:t xml:space="preserve"> million at service level </w:t>
      </w:r>
      <w:r w:rsidR="00100B3F">
        <w:rPr>
          <w:color w:val="auto"/>
        </w:rPr>
        <w:t xml:space="preserve">as set out in Appendix A, </w:t>
      </w:r>
      <w:r>
        <w:rPr>
          <w:color w:val="auto"/>
        </w:rPr>
        <w:t>this is prior to any carry forward and new bid requests.</w:t>
      </w:r>
      <w:r w:rsidR="007F4328">
        <w:rPr>
          <w:color w:val="auto"/>
        </w:rPr>
        <w:t xml:space="preserve"> </w:t>
      </w:r>
      <w:r>
        <w:rPr>
          <w:color w:val="auto"/>
        </w:rPr>
        <w:t>The revenue balance remains unchanged at £3.622 million.</w:t>
      </w:r>
    </w:p>
    <w:p w:rsidR="001757B4" w:rsidRDefault="001757B4" w:rsidP="001757B4">
      <w:pPr>
        <w:pStyle w:val="ListParagraph"/>
        <w:numPr>
          <w:ilvl w:val="0"/>
          <w:numId w:val="0"/>
        </w:numPr>
        <w:rPr>
          <w:b/>
          <w:color w:val="auto"/>
        </w:rPr>
      </w:pPr>
      <w:r w:rsidRPr="001757B4">
        <w:rPr>
          <w:b/>
          <w:color w:val="auto"/>
        </w:rPr>
        <w:t>General Fund Earmarked Reserves and Working Balance</w:t>
      </w:r>
    </w:p>
    <w:p w:rsidR="001757B4" w:rsidRDefault="001757B4" w:rsidP="00D77751">
      <w:pPr>
        <w:pStyle w:val="ListParagraph"/>
        <w:tabs>
          <w:tab w:val="clear" w:pos="426"/>
        </w:tabs>
        <w:rPr>
          <w:color w:val="auto"/>
        </w:rPr>
      </w:pPr>
      <w:r>
        <w:rPr>
          <w:color w:val="auto"/>
        </w:rPr>
        <w:t xml:space="preserve">A number of requests have been made to carry forward unspent sums </w:t>
      </w:r>
      <w:r w:rsidR="006F36C9">
        <w:rPr>
          <w:color w:val="auto"/>
        </w:rPr>
        <w:t xml:space="preserve">in respect of previously approved budgets </w:t>
      </w:r>
      <w:r>
        <w:rPr>
          <w:color w:val="auto"/>
        </w:rPr>
        <w:t>that have either a) not yet started, or b) are started b</w:t>
      </w:r>
      <w:r w:rsidR="00216AA4">
        <w:rPr>
          <w:color w:val="auto"/>
        </w:rPr>
        <w:t>ut</w:t>
      </w:r>
      <w:r>
        <w:rPr>
          <w:color w:val="auto"/>
        </w:rPr>
        <w:t xml:space="preserve"> not completed </w:t>
      </w:r>
      <w:r w:rsidR="00E96D58">
        <w:rPr>
          <w:color w:val="auto"/>
        </w:rPr>
        <w:t>(£1</w:t>
      </w:r>
      <w:r w:rsidR="00627684">
        <w:rPr>
          <w:color w:val="auto"/>
        </w:rPr>
        <w:t>.</w:t>
      </w:r>
      <w:r w:rsidR="00E96D58">
        <w:rPr>
          <w:color w:val="auto"/>
        </w:rPr>
        <w:t>444</w:t>
      </w:r>
      <w:r w:rsidR="00627684">
        <w:rPr>
          <w:color w:val="auto"/>
        </w:rPr>
        <w:t xml:space="preserve"> million</w:t>
      </w:r>
      <w:r>
        <w:rPr>
          <w:color w:val="auto"/>
        </w:rPr>
        <w:t>)</w:t>
      </w:r>
      <w:r w:rsidR="00627684">
        <w:rPr>
          <w:color w:val="auto"/>
        </w:rPr>
        <w:t>.</w:t>
      </w:r>
      <w:r>
        <w:rPr>
          <w:color w:val="auto"/>
        </w:rPr>
        <w:t xml:space="preserve"> Additionally, </w:t>
      </w:r>
      <w:r w:rsidR="003450F2">
        <w:rPr>
          <w:color w:val="auto"/>
        </w:rPr>
        <w:t xml:space="preserve">new bids of £745k </w:t>
      </w:r>
      <w:r w:rsidR="002E1770">
        <w:rPr>
          <w:color w:val="auto"/>
        </w:rPr>
        <w:t xml:space="preserve">on which to use </w:t>
      </w:r>
      <w:proofErr w:type="gramStart"/>
      <w:r w:rsidR="002E1770">
        <w:rPr>
          <w:color w:val="auto"/>
        </w:rPr>
        <w:t>the underspend</w:t>
      </w:r>
      <w:proofErr w:type="gramEnd"/>
      <w:r w:rsidR="002E1770">
        <w:rPr>
          <w:color w:val="auto"/>
        </w:rPr>
        <w:t xml:space="preserve"> </w:t>
      </w:r>
      <w:r w:rsidR="003450F2">
        <w:rPr>
          <w:color w:val="auto"/>
        </w:rPr>
        <w:t xml:space="preserve">have been </w:t>
      </w:r>
      <w:r w:rsidR="002E1770">
        <w:rPr>
          <w:color w:val="auto"/>
        </w:rPr>
        <w:t>proposed</w:t>
      </w:r>
      <w:r w:rsidR="003450F2">
        <w:rPr>
          <w:color w:val="auto"/>
        </w:rPr>
        <w:t>.  Details of these requests are summarised in the table below, and further detail</w:t>
      </w:r>
      <w:r w:rsidR="00216AA4">
        <w:rPr>
          <w:color w:val="auto"/>
        </w:rPr>
        <w:t>s</w:t>
      </w:r>
      <w:r w:rsidR="003450F2">
        <w:rPr>
          <w:color w:val="auto"/>
        </w:rPr>
        <w:t xml:space="preserve"> shown in Appendix </w:t>
      </w:r>
      <w:r w:rsidR="00FB4868">
        <w:rPr>
          <w:color w:val="auto"/>
        </w:rPr>
        <w:t>D</w:t>
      </w:r>
      <w:r w:rsidR="003450F2">
        <w:rPr>
          <w:color w:val="auto"/>
        </w:rPr>
        <w:t>:</w:t>
      </w:r>
    </w:p>
    <w:p w:rsidR="003450F2" w:rsidRDefault="00434D16" w:rsidP="003450F2">
      <w:pPr>
        <w:pStyle w:val="ListParagraph"/>
        <w:numPr>
          <w:ilvl w:val="0"/>
          <w:numId w:val="0"/>
        </w:numPr>
        <w:tabs>
          <w:tab w:val="clear" w:pos="426"/>
        </w:tabs>
        <w:ind w:left="426"/>
      </w:pPr>
      <w:r w:rsidRPr="006F36C9">
        <w:rPr>
          <w:noProof/>
        </w:rPr>
        <w:drawing>
          <wp:inline distT="0" distB="0" distL="0" distR="0" wp14:anchorId="02DC9B93" wp14:editId="6448F86B">
            <wp:extent cx="4989195" cy="3786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195" cy="3786505"/>
                    </a:xfrm>
                    <a:prstGeom prst="rect">
                      <a:avLst/>
                    </a:prstGeom>
                    <a:noFill/>
                    <a:ln>
                      <a:noFill/>
                    </a:ln>
                  </pic:spPr>
                </pic:pic>
              </a:graphicData>
            </a:graphic>
          </wp:inline>
        </w:drawing>
      </w:r>
    </w:p>
    <w:p w:rsidR="003450F2" w:rsidRDefault="003450F2" w:rsidP="003450F2">
      <w:pPr>
        <w:pStyle w:val="ListParagraph"/>
        <w:numPr>
          <w:ilvl w:val="0"/>
          <w:numId w:val="0"/>
        </w:numPr>
        <w:tabs>
          <w:tab w:val="clear" w:pos="426"/>
        </w:tabs>
        <w:ind w:left="426"/>
        <w:rPr>
          <w:color w:val="auto"/>
        </w:rPr>
      </w:pPr>
    </w:p>
    <w:p w:rsidR="003450F2" w:rsidRDefault="003450F2" w:rsidP="00D77751">
      <w:pPr>
        <w:pStyle w:val="ListParagraph"/>
        <w:tabs>
          <w:tab w:val="clear" w:pos="426"/>
        </w:tabs>
        <w:rPr>
          <w:color w:val="auto"/>
        </w:rPr>
      </w:pPr>
      <w:r>
        <w:rPr>
          <w:color w:val="auto"/>
        </w:rPr>
        <w:t>The new scheme requests include the following:</w:t>
      </w:r>
    </w:p>
    <w:p w:rsidR="007F4328" w:rsidRPr="007F4328" w:rsidRDefault="003450F2" w:rsidP="007F4328">
      <w:pPr>
        <w:pStyle w:val="ListParagraph"/>
        <w:numPr>
          <w:ilvl w:val="0"/>
          <w:numId w:val="32"/>
        </w:numPr>
        <w:tabs>
          <w:tab w:val="clear" w:pos="426"/>
        </w:tabs>
        <w:rPr>
          <w:color w:val="auto"/>
        </w:rPr>
      </w:pPr>
      <w:r w:rsidRPr="007F4328">
        <w:rPr>
          <w:b/>
          <w:color w:val="auto"/>
        </w:rPr>
        <w:t>Working with Clin</w:t>
      </w:r>
      <w:r w:rsidR="002E1770">
        <w:rPr>
          <w:b/>
          <w:color w:val="auto"/>
        </w:rPr>
        <w:t xml:space="preserve">ical </w:t>
      </w:r>
      <w:r w:rsidRPr="007F4328">
        <w:rPr>
          <w:b/>
          <w:color w:val="auto"/>
        </w:rPr>
        <w:t>Commissioning Group</w:t>
      </w:r>
      <w:r w:rsidR="0036290C">
        <w:rPr>
          <w:b/>
          <w:color w:val="auto"/>
        </w:rPr>
        <w:t xml:space="preserve"> to reduce health inequalities in Oxford</w:t>
      </w:r>
      <w:r w:rsidRPr="007F4328">
        <w:rPr>
          <w:b/>
          <w:color w:val="auto"/>
        </w:rPr>
        <w:t xml:space="preserve"> - £100k</w:t>
      </w:r>
      <w:r w:rsidR="00FB4868" w:rsidRPr="007F4328">
        <w:rPr>
          <w:color w:val="auto"/>
        </w:rPr>
        <w:t xml:space="preserve"> –</w:t>
      </w:r>
      <w:r w:rsidR="007F4328" w:rsidRPr="007F4328">
        <w:rPr>
          <w:color w:val="auto"/>
        </w:rPr>
        <w:t xml:space="preserve"> </w:t>
      </w:r>
      <w:r w:rsidR="0036290C">
        <w:rPr>
          <w:color w:val="auto"/>
        </w:rPr>
        <w:t xml:space="preserve">this would be a </w:t>
      </w:r>
      <w:r w:rsidR="007F4328" w:rsidRPr="007F4328">
        <w:rPr>
          <w:color w:val="auto"/>
        </w:rPr>
        <w:t>contribution to a proposed joint fund on the basis that it would be matched by Oxfordshire Clinical Commissioning Group to support targeted interventions focused on prevention to tackle health inequalities and deliver better health outcomes in the City.  The proposition follows the report Oxfordshire commission</w:t>
      </w:r>
      <w:r w:rsidR="004D0FD0">
        <w:rPr>
          <w:color w:val="auto"/>
        </w:rPr>
        <w:t>ed</w:t>
      </w:r>
      <w:r w:rsidR="007F4328" w:rsidRPr="007F4328">
        <w:rPr>
          <w:color w:val="auto"/>
        </w:rPr>
        <w:t xml:space="preserve"> on Health Inequalities and </w:t>
      </w:r>
      <w:r w:rsidR="004D0FD0">
        <w:rPr>
          <w:color w:val="auto"/>
        </w:rPr>
        <w:t xml:space="preserve">recommendations from </w:t>
      </w:r>
      <w:r w:rsidR="007F4328" w:rsidRPr="007F4328">
        <w:rPr>
          <w:color w:val="auto"/>
        </w:rPr>
        <w:t xml:space="preserve">Oxford City Scrutiny Panel that the Council should support the recommendations and explore further ways in which they could be implemented.  Initiatives supported by this funding would demonstrate improved outcomes and financial benefits for partners that could be used to evidence the case for wider application of preventative approaches.  The programme could include </w:t>
      </w:r>
      <w:r w:rsidR="007F4328">
        <w:t>applying a healthy new town approach more broadly, expansion of social prescribing and exercise on prescription, measures to improve diet, and targeted promotion of exercise to groups where it would otherwise be low.  Crucial to this would be strengthening links between primary care practices and health-care providers and community, voluntary and local authority services that influence public health.</w:t>
      </w:r>
    </w:p>
    <w:p w:rsidR="003450F2" w:rsidRDefault="003450F2" w:rsidP="003450F2">
      <w:pPr>
        <w:pStyle w:val="ListParagraph"/>
        <w:numPr>
          <w:ilvl w:val="0"/>
          <w:numId w:val="32"/>
        </w:numPr>
        <w:tabs>
          <w:tab w:val="clear" w:pos="426"/>
        </w:tabs>
        <w:rPr>
          <w:color w:val="auto"/>
        </w:rPr>
      </w:pPr>
      <w:r w:rsidRPr="00D02009">
        <w:rPr>
          <w:b/>
          <w:color w:val="auto"/>
        </w:rPr>
        <w:t>Exte</w:t>
      </w:r>
      <w:r w:rsidR="006F36C9" w:rsidRPr="00D02009">
        <w:rPr>
          <w:b/>
          <w:color w:val="auto"/>
        </w:rPr>
        <w:t xml:space="preserve">nsion to </w:t>
      </w:r>
      <w:proofErr w:type="spellStart"/>
      <w:r w:rsidR="006F36C9" w:rsidRPr="00D02009">
        <w:rPr>
          <w:b/>
          <w:color w:val="auto"/>
        </w:rPr>
        <w:t>Cowley</w:t>
      </w:r>
      <w:proofErr w:type="spellEnd"/>
      <w:r w:rsidR="006F36C9" w:rsidRPr="00D02009">
        <w:rPr>
          <w:b/>
          <w:color w:val="auto"/>
        </w:rPr>
        <w:t xml:space="preserve"> Marsh Depot </w:t>
      </w:r>
      <w:r w:rsidR="0036290C">
        <w:rPr>
          <w:b/>
          <w:color w:val="auto"/>
        </w:rPr>
        <w:t xml:space="preserve">and associated improvements to the local area </w:t>
      </w:r>
      <w:r w:rsidR="006F36C9" w:rsidRPr="00D02009">
        <w:rPr>
          <w:b/>
          <w:color w:val="auto"/>
        </w:rPr>
        <w:t>- £3</w:t>
      </w:r>
      <w:r w:rsidRPr="00D02009">
        <w:rPr>
          <w:b/>
          <w:color w:val="auto"/>
        </w:rPr>
        <w:t>00k</w:t>
      </w:r>
      <w:r w:rsidR="00FB4868">
        <w:rPr>
          <w:color w:val="auto"/>
        </w:rPr>
        <w:t xml:space="preserve"> – this new bid has been submitted to enable the depot to be extended to ensure </w:t>
      </w:r>
      <w:r w:rsidR="00AC5333">
        <w:rPr>
          <w:color w:val="auto"/>
        </w:rPr>
        <w:t>future operational effectiveness</w:t>
      </w:r>
      <w:r w:rsidR="001F2192">
        <w:rPr>
          <w:color w:val="auto"/>
        </w:rPr>
        <w:t>, in</w:t>
      </w:r>
      <w:r w:rsidR="00FB4868">
        <w:rPr>
          <w:color w:val="auto"/>
        </w:rPr>
        <w:t xml:space="preserve"> particular</w:t>
      </w:r>
      <w:r w:rsidR="001F2192">
        <w:rPr>
          <w:color w:val="auto"/>
        </w:rPr>
        <w:t xml:space="preserve"> </w:t>
      </w:r>
      <w:r w:rsidR="00FB4868">
        <w:rPr>
          <w:color w:val="auto"/>
        </w:rPr>
        <w:t>regarding Recycling and the need to be Emergency Response Ready.</w:t>
      </w:r>
      <w:r w:rsidR="00216AA4">
        <w:rPr>
          <w:color w:val="auto"/>
        </w:rPr>
        <w:t xml:space="preserve"> Further details are shown in Appendix </w:t>
      </w:r>
      <w:r w:rsidR="00F47EB1">
        <w:rPr>
          <w:color w:val="auto"/>
        </w:rPr>
        <w:t>E</w:t>
      </w:r>
      <w:r w:rsidR="00D02009">
        <w:rPr>
          <w:color w:val="auto"/>
        </w:rPr>
        <w:t>.</w:t>
      </w:r>
    </w:p>
    <w:p w:rsidR="003450F2" w:rsidRDefault="003450F2" w:rsidP="003450F2">
      <w:pPr>
        <w:pStyle w:val="ListParagraph"/>
        <w:numPr>
          <w:ilvl w:val="0"/>
          <w:numId w:val="32"/>
        </w:numPr>
        <w:tabs>
          <w:tab w:val="clear" w:pos="426"/>
        </w:tabs>
        <w:rPr>
          <w:color w:val="auto"/>
        </w:rPr>
      </w:pPr>
      <w:r w:rsidRPr="00D02009">
        <w:rPr>
          <w:b/>
          <w:color w:val="auto"/>
        </w:rPr>
        <w:t>Establishing the LATCo - £</w:t>
      </w:r>
      <w:r w:rsidR="00FB4868" w:rsidRPr="00D02009">
        <w:rPr>
          <w:b/>
          <w:color w:val="auto"/>
        </w:rPr>
        <w:t>1</w:t>
      </w:r>
      <w:r w:rsidRPr="00D02009">
        <w:rPr>
          <w:b/>
          <w:color w:val="auto"/>
        </w:rPr>
        <w:t>00k</w:t>
      </w:r>
      <w:r w:rsidR="00FB4868">
        <w:rPr>
          <w:color w:val="auto"/>
        </w:rPr>
        <w:t xml:space="preserve"> – </w:t>
      </w:r>
      <w:r w:rsidR="001F2192">
        <w:rPr>
          <w:color w:val="auto"/>
        </w:rPr>
        <w:t xml:space="preserve">the </w:t>
      </w:r>
      <w:r w:rsidR="006F36C9">
        <w:rPr>
          <w:color w:val="auto"/>
        </w:rPr>
        <w:t xml:space="preserve">City Executive Board have agreed </w:t>
      </w:r>
      <w:r w:rsidR="002E1770">
        <w:rPr>
          <w:color w:val="auto"/>
        </w:rPr>
        <w:t xml:space="preserve">in principal to </w:t>
      </w:r>
      <w:r w:rsidR="006F36C9">
        <w:rPr>
          <w:color w:val="auto"/>
        </w:rPr>
        <w:t>the establish</w:t>
      </w:r>
      <w:r w:rsidR="00DF4738">
        <w:rPr>
          <w:color w:val="auto"/>
        </w:rPr>
        <w:t xml:space="preserve">ment </w:t>
      </w:r>
      <w:r w:rsidR="006F36C9">
        <w:rPr>
          <w:color w:val="auto"/>
        </w:rPr>
        <w:t>of a Local Authority Trading Company (LATCO</w:t>
      </w:r>
      <w:r w:rsidR="004D0FD0">
        <w:rPr>
          <w:color w:val="auto"/>
        </w:rPr>
        <w:t>)</w:t>
      </w:r>
      <w:r w:rsidR="00DF4738">
        <w:rPr>
          <w:color w:val="auto"/>
        </w:rPr>
        <w:t xml:space="preserve">.  This </w:t>
      </w:r>
      <w:r w:rsidR="006F36C9">
        <w:rPr>
          <w:color w:val="auto"/>
        </w:rPr>
        <w:t>is a significant project and requires funding for</w:t>
      </w:r>
      <w:r w:rsidR="004D0FD0">
        <w:rPr>
          <w:color w:val="auto"/>
        </w:rPr>
        <w:t xml:space="preserve"> </w:t>
      </w:r>
      <w:r w:rsidR="006F36C9">
        <w:rPr>
          <w:color w:val="auto"/>
        </w:rPr>
        <w:t>backfill of staff</w:t>
      </w:r>
      <w:r w:rsidR="007D2F26">
        <w:rPr>
          <w:color w:val="auto"/>
        </w:rPr>
        <w:t xml:space="preserve">, </w:t>
      </w:r>
      <w:r w:rsidR="006F36C9">
        <w:rPr>
          <w:color w:val="auto"/>
        </w:rPr>
        <w:t>systems development</w:t>
      </w:r>
      <w:r w:rsidR="007D2F26">
        <w:rPr>
          <w:color w:val="auto"/>
        </w:rPr>
        <w:t xml:space="preserve"> and</w:t>
      </w:r>
      <w:r w:rsidR="004D0FD0">
        <w:rPr>
          <w:color w:val="auto"/>
        </w:rPr>
        <w:t xml:space="preserve"> </w:t>
      </w:r>
      <w:r w:rsidR="006F36C9">
        <w:rPr>
          <w:color w:val="auto"/>
        </w:rPr>
        <w:t>consultancy.  Whilst some of this expenditure is funded from working capital allocated to the company</w:t>
      </w:r>
      <w:r w:rsidR="00B73D1D">
        <w:rPr>
          <w:color w:val="auto"/>
        </w:rPr>
        <w:t>,</w:t>
      </w:r>
      <w:r w:rsidR="006F36C9">
        <w:rPr>
          <w:color w:val="auto"/>
        </w:rPr>
        <w:t xml:space="preserve"> the Council will require a budget to undertake the work it is required to </w:t>
      </w:r>
      <w:r w:rsidR="007D2F26">
        <w:rPr>
          <w:color w:val="auto"/>
        </w:rPr>
        <w:t>undertake.</w:t>
      </w:r>
    </w:p>
    <w:p w:rsidR="003450F2" w:rsidRDefault="00614AE0" w:rsidP="003450F2">
      <w:pPr>
        <w:pStyle w:val="ListParagraph"/>
        <w:numPr>
          <w:ilvl w:val="0"/>
          <w:numId w:val="32"/>
        </w:numPr>
        <w:tabs>
          <w:tab w:val="clear" w:pos="426"/>
        </w:tabs>
        <w:rPr>
          <w:color w:val="auto"/>
        </w:rPr>
      </w:pPr>
      <w:r w:rsidRPr="00D02009">
        <w:rPr>
          <w:b/>
          <w:color w:val="auto"/>
        </w:rPr>
        <w:t xml:space="preserve">St Aldates Chambers </w:t>
      </w:r>
      <w:r w:rsidR="004768FC">
        <w:rPr>
          <w:b/>
          <w:color w:val="auto"/>
        </w:rPr>
        <w:t xml:space="preserve">office </w:t>
      </w:r>
      <w:r w:rsidR="009E1E1D">
        <w:rPr>
          <w:b/>
          <w:color w:val="auto"/>
        </w:rPr>
        <w:t xml:space="preserve">accommodation </w:t>
      </w:r>
      <w:proofErr w:type="gramStart"/>
      <w:r w:rsidR="004768FC">
        <w:rPr>
          <w:b/>
          <w:color w:val="auto"/>
        </w:rPr>
        <w:t xml:space="preserve">- </w:t>
      </w:r>
      <w:r w:rsidR="00773F4F">
        <w:rPr>
          <w:color w:val="auto"/>
        </w:rPr>
        <w:t xml:space="preserve"> £</w:t>
      </w:r>
      <w:proofErr w:type="gramEnd"/>
      <w:r w:rsidR="00773F4F">
        <w:rPr>
          <w:color w:val="auto"/>
        </w:rPr>
        <w:t xml:space="preserve">45k </w:t>
      </w:r>
      <w:r w:rsidR="004768FC">
        <w:rPr>
          <w:color w:val="auto"/>
        </w:rPr>
        <w:t xml:space="preserve">- </w:t>
      </w:r>
      <w:r w:rsidR="006F36C9">
        <w:rPr>
          <w:color w:val="auto"/>
        </w:rPr>
        <w:t xml:space="preserve">the consolidation of administrative accommodation for Council staff has been a key area of work for the ‘Offices for the Future’ programme.  To ensure the meeting rooms continue to be </w:t>
      </w:r>
      <w:r>
        <w:rPr>
          <w:color w:val="auto"/>
        </w:rPr>
        <w:t xml:space="preserve">used </w:t>
      </w:r>
      <w:r w:rsidR="006F36C9">
        <w:rPr>
          <w:color w:val="auto"/>
        </w:rPr>
        <w:t xml:space="preserve">effectively a budget is required </w:t>
      </w:r>
      <w:r>
        <w:rPr>
          <w:color w:val="auto"/>
        </w:rPr>
        <w:t xml:space="preserve">to </w:t>
      </w:r>
      <w:r w:rsidR="00CA0122">
        <w:rPr>
          <w:color w:val="auto"/>
        </w:rPr>
        <w:t xml:space="preserve">refresh them </w:t>
      </w:r>
      <w:r w:rsidR="006F36C9">
        <w:rPr>
          <w:color w:val="auto"/>
        </w:rPr>
        <w:t>and install</w:t>
      </w:r>
      <w:r>
        <w:rPr>
          <w:color w:val="auto"/>
        </w:rPr>
        <w:t xml:space="preserve"> new hearing loops.</w:t>
      </w:r>
    </w:p>
    <w:p w:rsidR="003450F2" w:rsidRPr="003450F2" w:rsidRDefault="003450F2" w:rsidP="003450F2">
      <w:pPr>
        <w:pStyle w:val="ListParagraph"/>
        <w:numPr>
          <w:ilvl w:val="0"/>
          <w:numId w:val="32"/>
        </w:numPr>
        <w:tabs>
          <w:tab w:val="clear" w:pos="426"/>
        </w:tabs>
        <w:rPr>
          <w:color w:val="auto"/>
        </w:rPr>
      </w:pPr>
      <w:r w:rsidRPr="00D02009">
        <w:rPr>
          <w:b/>
          <w:color w:val="auto"/>
        </w:rPr>
        <w:t>Housing Management ICT system - £200k</w:t>
      </w:r>
      <w:r w:rsidR="00614AE0">
        <w:rPr>
          <w:color w:val="auto"/>
        </w:rPr>
        <w:t xml:space="preserve"> – </w:t>
      </w:r>
      <w:r w:rsidR="006F36C9">
        <w:rPr>
          <w:color w:val="auto"/>
        </w:rPr>
        <w:t xml:space="preserve">Elsewhere on the </w:t>
      </w:r>
      <w:r w:rsidR="00864061">
        <w:rPr>
          <w:color w:val="auto"/>
        </w:rPr>
        <w:t>City</w:t>
      </w:r>
      <w:r w:rsidR="006F36C9">
        <w:rPr>
          <w:color w:val="auto"/>
        </w:rPr>
        <w:t xml:space="preserve"> Executive Board agenda is a report on the replacement of the Housing Management ICT systems.  The </w:t>
      </w:r>
      <w:r w:rsidR="00BD41E4">
        <w:rPr>
          <w:color w:val="auto"/>
        </w:rPr>
        <w:t>indicative</w:t>
      </w:r>
      <w:r w:rsidR="006F36C9">
        <w:rPr>
          <w:color w:val="auto"/>
        </w:rPr>
        <w:t xml:space="preserve"> budget for replacement </w:t>
      </w:r>
      <w:r w:rsidR="00A52418">
        <w:rPr>
          <w:color w:val="auto"/>
        </w:rPr>
        <w:t xml:space="preserve">included in the Capital Programme is </w:t>
      </w:r>
      <w:r w:rsidR="006F36C9">
        <w:rPr>
          <w:color w:val="auto"/>
        </w:rPr>
        <w:t>£600k</w:t>
      </w:r>
      <w:r w:rsidR="00A52418">
        <w:rPr>
          <w:color w:val="auto"/>
        </w:rPr>
        <w:t>.</w:t>
      </w:r>
      <w:r w:rsidR="006F36C9">
        <w:rPr>
          <w:color w:val="auto"/>
        </w:rPr>
        <w:t xml:space="preserve">  The report </w:t>
      </w:r>
      <w:r w:rsidR="00CD2586">
        <w:rPr>
          <w:color w:val="auto"/>
        </w:rPr>
        <w:t xml:space="preserve">recommends </w:t>
      </w:r>
      <w:r w:rsidR="006F6DC5">
        <w:rPr>
          <w:color w:val="auto"/>
        </w:rPr>
        <w:t>that this budget should be increase to £1 million with the additional £400k being finance</w:t>
      </w:r>
      <w:r w:rsidR="00216AA4">
        <w:rPr>
          <w:color w:val="auto"/>
        </w:rPr>
        <w:t>d</w:t>
      </w:r>
      <w:r w:rsidR="006F6DC5">
        <w:rPr>
          <w:color w:val="auto"/>
        </w:rPr>
        <w:t xml:space="preserve"> equally from the Council</w:t>
      </w:r>
      <w:r w:rsidR="00CD2586">
        <w:rPr>
          <w:color w:val="auto"/>
        </w:rPr>
        <w:t>’s</w:t>
      </w:r>
      <w:r w:rsidR="006F6DC5">
        <w:rPr>
          <w:color w:val="auto"/>
        </w:rPr>
        <w:t xml:space="preserve"> General Fund and HRA (see paragraph </w:t>
      </w:r>
      <w:r w:rsidR="00F26F53">
        <w:rPr>
          <w:color w:val="auto"/>
        </w:rPr>
        <w:t>15</w:t>
      </w:r>
      <w:r w:rsidR="00B73D1D">
        <w:rPr>
          <w:color w:val="auto"/>
        </w:rPr>
        <w:t xml:space="preserve"> </w:t>
      </w:r>
      <w:r w:rsidR="006F6DC5">
        <w:rPr>
          <w:color w:val="auto"/>
        </w:rPr>
        <w:t>below)</w:t>
      </w:r>
      <w:r w:rsidR="00614AE0">
        <w:rPr>
          <w:color w:val="auto"/>
        </w:rPr>
        <w:t>.</w:t>
      </w:r>
    </w:p>
    <w:p w:rsidR="003450F2" w:rsidRDefault="003450F2" w:rsidP="00D77751">
      <w:pPr>
        <w:pStyle w:val="ListParagraph"/>
        <w:tabs>
          <w:tab w:val="clear" w:pos="426"/>
        </w:tabs>
        <w:rPr>
          <w:color w:val="auto"/>
        </w:rPr>
      </w:pPr>
      <w:r>
        <w:rPr>
          <w:color w:val="auto"/>
        </w:rPr>
        <w:t>The City Executive Board is asked to review and agree the carry forward requests and n</w:t>
      </w:r>
      <w:r w:rsidR="00FA385D">
        <w:rPr>
          <w:color w:val="auto"/>
        </w:rPr>
        <w:t xml:space="preserve">ew bids.  </w:t>
      </w:r>
      <w:r w:rsidR="00594AE5">
        <w:rPr>
          <w:color w:val="auto"/>
        </w:rPr>
        <w:t xml:space="preserve">It is recommended that </w:t>
      </w:r>
      <w:r w:rsidR="00343DA0">
        <w:rPr>
          <w:color w:val="auto"/>
        </w:rPr>
        <w:t xml:space="preserve">any </w:t>
      </w:r>
      <w:r w:rsidR="00FA385D">
        <w:rPr>
          <w:color w:val="auto"/>
        </w:rPr>
        <w:t xml:space="preserve">sums not agreed </w:t>
      </w:r>
      <w:r w:rsidR="00343DA0">
        <w:rPr>
          <w:color w:val="auto"/>
        </w:rPr>
        <w:t xml:space="preserve">are </w:t>
      </w:r>
      <w:r w:rsidR="006F6DC5">
        <w:rPr>
          <w:color w:val="auto"/>
        </w:rPr>
        <w:t>transferred to the Capital Financing Reserve</w:t>
      </w:r>
      <w:r w:rsidR="00FA385D">
        <w:rPr>
          <w:color w:val="auto"/>
        </w:rPr>
        <w:t>.</w:t>
      </w:r>
    </w:p>
    <w:p w:rsidR="00FA385D" w:rsidRDefault="00C90060" w:rsidP="00D77751">
      <w:pPr>
        <w:pStyle w:val="ListParagraph"/>
        <w:tabs>
          <w:tab w:val="clear" w:pos="426"/>
        </w:tabs>
        <w:rPr>
          <w:color w:val="auto"/>
        </w:rPr>
      </w:pPr>
      <w:r>
        <w:rPr>
          <w:color w:val="auto"/>
        </w:rPr>
        <w:t xml:space="preserve">Subject to CEB agreeing the recommended carry forwards </w:t>
      </w:r>
      <w:r w:rsidR="00216AA4">
        <w:rPr>
          <w:color w:val="auto"/>
        </w:rPr>
        <w:t xml:space="preserve">Earmarked </w:t>
      </w:r>
      <w:r w:rsidR="00AB77E5">
        <w:rPr>
          <w:color w:val="auto"/>
        </w:rPr>
        <w:t>Reserves</w:t>
      </w:r>
      <w:r w:rsidR="00216AA4">
        <w:rPr>
          <w:color w:val="auto"/>
        </w:rPr>
        <w:t xml:space="preserve"> as at the 31</w:t>
      </w:r>
      <w:r w:rsidR="00216AA4" w:rsidRPr="00D02009">
        <w:rPr>
          <w:color w:val="auto"/>
          <w:vertAlign w:val="superscript"/>
        </w:rPr>
        <w:t>st</w:t>
      </w:r>
      <w:r w:rsidR="00216AA4">
        <w:rPr>
          <w:color w:val="auto"/>
        </w:rPr>
        <w:t xml:space="preserve"> March 2017 </w:t>
      </w:r>
      <w:r w:rsidR="00AB77E5">
        <w:rPr>
          <w:color w:val="auto"/>
        </w:rPr>
        <w:t xml:space="preserve">would </w:t>
      </w:r>
      <w:r w:rsidR="00216AA4">
        <w:rPr>
          <w:color w:val="auto"/>
        </w:rPr>
        <w:t xml:space="preserve">stand at </w:t>
      </w:r>
      <w:r w:rsidR="00D02009">
        <w:rPr>
          <w:color w:val="auto"/>
        </w:rPr>
        <w:t>£35.019 million</w:t>
      </w:r>
      <w:r w:rsidR="00216AA4">
        <w:rPr>
          <w:color w:val="auto"/>
        </w:rPr>
        <w:t xml:space="preserve">, the material part of which </w:t>
      </w:r>
      <w:r w:rsidR="00D02009">
        <w:rPr>
          <w:color w:val="auto"/>
        </w:rPr>
        <w:t>37</w:t>
      </w:r>
      <w:r w:rsidR="00216AA4">
        <w:rPr>
          <w:color w:val="auto"/>
        </w:rPr>
        <w:t xml:space="preserve">% relates to funding of the </w:t>
      </w:r>
      <w:r w:rsidR="00AB77E5">
        <w:rPr>
          <w:color w:val="auto"/>
        </w:rPr>
        <w:t>Capital</w:t>
      </w:r>
      <w:r w:rsidR="00216AA4">
        <w:rPr>
          <w:color w:val="auto"/>
        </w:rPr>
        <w:t xml:space="preserve"> </w:t>
      </w:r>
      <w:r w:rsidR="00AB77E5">
        <w:rPr>
          <w:color w:val="auto"/>
        </w:rPr>
        <w:t>Programme</w:t>
      </w:r>
      <w:r w:rsidR="00D02009">
        <w:rPr>
          <w:color w:val="auto"/>
        </w:rPr>
        <w:t>.</w:t>
      </w:r>
    </w:p>
    <w:p w:rsidR="00FA385D" w:rsidRDefault="00FA385D" w:rsidP="00D77751">
      <w:pPr>
        <w:pStyle w:val="ListParagraph"/>
        <w:tabs>
          <w:tab w:val="clear" w:pos="426"/>
        </w:tabs>
        <w:rPr>
          <w:color w:val="auto"/>
        </w:rPr>
      </w:pPr>
      <w:r>
        <w:rPr>
          <w:color w:val="auto"/>
        </w:rPr>
        <w:t xml:space="preserve">The most notable transfers to </w:t>
      </w:r>
      <w:r w:rsidR="006F6DC5">
        <w:rPr>
          <w:color w:val="auto"/>
        </w:rPr>
        <w:t xml:space="preserve">and from </w:t>
      </w:r>
      <w:r>
        <w:rPr>
          <w:color w:val="auto"/>
        </w:rPr>
        <w:t xml:space="preserve">Earmarked Reserves </w:t>
      </w:r>
      <w:r w:rsidR="00216AA4">
        <w:rPr>
          <w:color w:val="auto"/>
        </w:rPr>
        <w:t xml:space="preserve">in year </w:t>
      </w:r>
      <w:r>
        <w:rPr>
          <w:color w:val="auto"/>
        </w:rPr>
        <w:t>are:</w:t>
      </w:r>
    </w:p>
    <w:p w:rsidR="00FA385D" w:rsidRDefault="00FA385D" w:rsidP="00FA385D">
      <w:pPr>
        <w:pStyle w:val="ListParagraph"/>
        <w:numPr>
          <w:ilvl w:val="0"/>
          <w:numId w:val="33"/>
        </w:numPr>
        <w:tabs>
          <w:tab w:val="clear" w:pos="426"/>
        </w:tabs>
        <w:rPr>
          <w:color w:val="auto"/>
        </w:rPr>
      </w:pPr>
      <w:r>
        <w:rPr>
          <w:color w:val="auto"/>
        </w:rPr>
        <w:t>Ca</w:t>
      </w:r>
      <w:r w:rsidR="00614AE0">
        <w:rPr>
          <w:color w:val="auto"/>
        </w:rPr>
        <w:t>rry Forward request</w:t>
      </w:r>
      <w:r w:rsidR="004D0FD0">
        <w:rPr>
          <w:color w:val="auto"/>
        </w:rPr>
        <w:t>s</w:t>
      </w:r>
      <w:r w:rsidR="00614AE0">
        <w:rPr>
          <w:color w:val="auto"/>
        </w:rPr>
        <w:t xml:space="preserve"> and New Bids</w:t>
      </w:r>
      <w:r>
        <w:rPr>
          <w:color w:val="auto"/>
        </w:rPr>
        <w:t xml:space="preserve"> - £2.</w:t>
      </w:r>
      <w:r w:rsidR="006F6DC5">
        <w:rPr>
          <w:color w:val="auto"/>
        </w:rPr>
        <w:t>189</w:t>
      </w:r>
      <w:r>
        <w:rPr>
          <w:color w:val="auto"/>
        </w:rPr>
        <w:t xml:space="preserve"> milli</w:t>
      </w:r>
      <w:r w:rsidR="006F6DC5">
        <w:rPr>
          <w:color w:val="auto"/>
        </w:rPr>
        <w:t>on as referred to in paragraph 6</w:t>
      </w:r>
      <w:r>
        <w:rPr>
          <w:color w:val="auto"/>
        </w:rPr>
        <w:t>;</w:t>
      </w:r>
    </w:p>
    <w:p w:rsidR="00C45ECB" w:rsidRDefault="00FA385D" w:rsidP="00FA385D">
      <w:pPr>
        <w:pStyle w:val="ListParagraph"/>
        <w:numPr>
          <w:ilvl w:val="0"/>
          <w:numId w:val="33"/>
        </w:numPr>
        <w:tabs>
          <w:tab w:val="clear" w:pos="426"/>
        </w:tabs>
        <w:rPr>
          <w:color w:val="auto"/>
        </w:rPr>
      </w:pPr>
      <w:r>
        <w:rPr>
          <w:color w:val="auto"/>
        </w:rPr>
        <w:t>NNDR Retention reserve – (£1.</w:t>
      </w:r>
      <w:r w:rsidR="006F6DC5">
        <w:rPr>
          <w:color w:val="auto"/>
        </w:rPr>
        <w:t>0</w:t>
      </w:r>
      <w:r>
        <w:rPr>
          <w:color w:val="auto"/>
        </w:rPr>
        <w:t>35) million released from the reserve to allow for variations in business rate</w:t>
      </w:r>
      <w:r w:rsidR="006F6DC5">
        <w:rPr>
          <w:color w:val="auto"/>
        </w:rPr>
        <w:t xml:space="preserve"> income</w:t>
      </w:r>
      <w:r w:rsidR="00C45ECB">
        <w:rPr>
          <w:color w:val="auto"/>
        </w:rPr>
        <w:t>;</w:t>
      </w:r>
    </w:p>
    <w:p w:rsidR="006F6DC5" w:rsidRDefault="006F6DC5" w:rsidP="00FA385D">
      <w:pPr>
        <w:pStyle w:val="ListParagraph"/>
        <w:numPr>
          <w:ilvl w:val="0"/>
          <w:numId w:val="33"/>
        </w:numPr>
        <w:tabs>
          <w:tab w:val="clear" w:pos="426"/>
        </w:tabs>
        <w:rPr>
          <w:color w:val="auto"/>
        </w:rPr>
      </w:pPr>
      <w:r>
        <w:rPr>
          <w:color w:val="auto"/>
        </w:rPr>
        <w:t>Housing Benefit Reserve</w:t>
      </w:r>
      <w:r w:rsidR="003C5241">
        <w:rPr>
          <w:color w:val="auto"/>
        </w:rPr>
        <w:t xml:space="preserve"> – (£0.300) million released from the reserve to cover </w:t>
      </w:r>
      <w:r w:rsidR="00216AA4">
        <w:rPr>
          <w:color w:val="auto"/>
        </w:rPr>
        <w:t>part</w:t>
      </w:r>
      <w:r w:rsidR="003C5241">
        <w:rPr>
          <w:color w:val="auto"/>
        </w:rPr>
        <w:t xml:space="preserve"> of the overspend on Local Cost of Benefits</w:t>
      </w:r>
    </w:p>
    <w:p w:rsidR="00FA385D" w:rsidRDefault="00FA385D" w:rsidP="00FA385D">
      <w:pPr>
        <w:pStyle w:val="ListParagraph"/>
        <w:numPr>
          <w:ilvl w:val="0"/>
          <w:numId w:val="0"/>
        </w:numPr>
        <w:tabs>
          <w:tab w:val="clear" w:pos="426"/>
        </w:tabs>
        <w:ind w:left="426" w:hanging="426"/>
        <w:rPr>
          <w:color w:val="auto"/>
        </w:rPr>
      </w:pPr>
    </w:p>
    <w:p w:rsidR="00C12317" w:rsidRDefault="00C12317" w:rsidP="00FA385D">
      <w:pPr>
        <w:pStyle w:val="ListParagraph"/>
        <w:numPr>
          <w:ilvl w:val="0"/>
          <w:numId w:val="0"/>
        </w:numPr>
        <w:tabs>
          <w:tab w:val="clear" w:pos="426"/>
        </w:tabs>
        <w:ind w:left="426" w:hanging="426"/>
        <w:rPr>
          <w:color w:val="auto"/>
        </w:rPr>
      </w:pPr>
    </w:p>
    <w:p w:rsidR="00C12317" w:rsidRDefault="00C12317" w:rsidP="00FA385D">
      <w:pPr>
        <w:pStyle w:val="ListParagraph"/>
        <w:numPr>
          <w:ilvl w:val="0"/>
          <w:numId w:val="0"/>
        </w:numPr>
        <w:tabs>
          <w:tab w:val="clear" w:pos="426"/>
        </w:tabs>
        <w:ind w:left="426" w:hanging="426"/>
        <w:rPr>
          <w:color w:val="auto"/>
        </w:rPr>
      </w:pPr>
    </w:p>
    <w:p w:rsidR="00FA385D" w:rsidRPr="00FA385D" w:rsidRDefault="00FA385D" w:rsidP="00FA385D">
      <w:pPr>
        <w:pStyle w:val="ListParagraph"/>
        <w:numPr>
          <w:ilvl w:val="0"/>
          <w:numId w:val="0"/>
        </w:numPr>
        <w:tabs>
          <w:tab w:val="clear" w:pos="426"/>
        </w:tabs>
        <w:ind w:left="426" w:hanging="426"/>
        <w:rPr>
          <w:b/>
          <w:color w:val="auto"/>
        </w:rPr>
      </w:pPr>
      <w:r w:rsidRPr="00156074">
        <w:rPr>
          <w:b/>
          <w:color w:val="auto"/>
        </w:rPr>
        <w:t>General Fund Service area position</w:t>
      </w:r>
    </w:p>
    <w:p w:rsidR="009B6D80" w:rsidRPr="00E96D58" w:rsidRDefault="00CC2459" w:rsidP="00E96D58">
      <w:pPr>
        <w:pStyle w:val="ListParagraph"/>
        <w:tabs>
          <w:tab w:val="clear" w:pos="426"/>
        </w:tabs>
        <w:rPr>
          <w:color w:val="auto"/>
        </w:rPr>
      </w:pPr>
      <w:r w:rsidRPr="00060092">
        <w:rPr>
          <w:color w:val="auto"/>
        </w:rPr>
        <w:t xml:space="preserve">At </w:t>
      </w:r>
      <w:r w:rsidR="00763052">
        <w:rPr>
          <w:color w:val="auto"/>
        </w:rPr>
        <w:t xml:space="preserve">the year end </w:t>
      </w:r>
      <w:r w:rsidRPr="00060092">
        <w:rPr>
          <w:color w:val="auto"/>
        </w:rPr>
        <w:t>t</w:t>
      </w:r>
      <w:r w:rsidR="006C483B" w:rsidRPr="00060092">
        <w:rPr>
          <w:color w:val="auto"/>
        </w:rPr>
        <w:t xml:space="preserve">he General Fund </w:t>
      </w:r>
      <w:r w:rsidR="00763052">
        <w:rPr>
          <w:color w:val="auto"/>
        </w:rPr>
        <w:t>service areas show</w:t>
      </w:r>
      <w:r w:rsidR="00160BAB">
        <w:rPr>
          <w:color w:val="auto"/>
        </w:rPr>
        <w:t>ed</w:t>
      </w:r>
      <w:r w:rsidR="00763052">
        <w:rPr>
          <w:color w:val="auto"/>
        </w:rPr>
        <w:t xml:space="preserve"> a favourable variance of </w:t>
      </w:r>
      <w:r w:rsidR="00763052" w:rsidRPr="00614AE0">
        <w:rPr>
          <w:color w:val="auto"/>
        </w:rPr>
        <w:t>£2</w:t>
      </w:r>
      <w:r w:rsidR="00E96D58" w:rsidRPr="00614AE0">
        <w:rPr>
          <w:color w:val="auto"/>
        </w:rPr>
        <w:t>.348</w:t>
      </w:r>
      <w:r w:rsidR="00763052" w:rsidRPr="00E96D58">
        <w:rPr>
          <w:color w:val="auto"/>
        </w:rPr>
        <w:t xml:space="preserve"> million</w:t>
      </w:r>
      <w:r w:rsidR="00E141C6" w:rsidRPr="00E96D58">
        <w:rPr>
          <w:color w:val="auto"/>
        </w:rPr>
        <w:t>.  The</w:t>
      </w:r>
      <w:r w:rsidR="00216AA4">
        <w:rPr>
          <w:color w:val="auto"/>
        </w:rPr>
        <w:t xml:space="preserve"> most significant of these variances </w:t>
      </w:r>
      <w:r w:rsidR="00E141C6" w:rsidRPr="00E96D58">
        <w:rPr>
          <w:color w:val="auto"/>
        </w:rPr>
        <w:t xml:space="preserve"> are </w:t>
      </w:r>
      <w:r w:rsidR="00763052" w:rsidRPr="00E96D58">
        <w:rPr>
          <w:color w:val="auto"/>
        </w:rPr>
        <w:t>explained below:</w:t>
      </w:r>
    </w:p>
    <w:p w:rsidR="00763052" w:rsidRDefault="00763052" w:rsidP="00763052">
      <w:pPr>
        <w:spacing w:after="0"/>
        <w:rPr>
          <w:rFonts w:cs="Arial"/>
        </w:rPr>
      </w:pPr>
    </w:p>
    <w:p w:rsidR="00763052" w:rsidRPr="00CB22FB" w:rsidRDefault="00763052" w:rsidP="007F4328">
      <w:pPr>
        <w:pStyle w:val="ListParagraph"/>
        <w:numPr>
          <w:ilvl w:val="0"/>
          <w:numId w:val="34"/>
        </w:numPr>
        <w:tabs>
          <w:tab w:val="clear" w:pos="426"/>
        </w:tabs>
        <w:spacing w:after="0" w:line="276" w:lineRule="auto"/>
        <w:contextualSpacing/>
        <w:rPr>
          <w:rFonts w:cs="Arial"/>
        </w:rPr>
      </w:pPr>
      <w:r w:rsidRPr="00980E5E">
        <w:rPr>
          <w:rFonts w:cs="Arial"/>
          <w:b/>
        </w:rPr>
        <w:t>Housing and Property</w:t>
      </w:r>
      <w:r w:rsidRPr="00980E5E">
        <w:rPr>
          <w:rFonts w:cs="Arial"/>
        </w:rPr>
        <w:t xml:space="preserve"> – year </w:t>
      </w:r>
      <w:r w:rsidR="00E96D58">
        <w:rPr>
          <w:rFonts w:cs="Arial"/>
        </w:rPr>
        <w:t>end favourable variance of (£0.797</w:t>
      </w:r>
      <w:r w:rsidRPr="00980E5E">
        <w:rPr>
          <w:rFonts w:cs="Arial"/>
        </w:rPr>
        <w:t>) million, due to</w:t>
      </w:r>
      <w:r w:rsidR="00170D87">
        <w:rPr>
          <w:rFonts w:cs="Arial"/>
        </w:rPr>
        <w:t xml:space="preserve"> </w:t>
      </w:r>
      <w:proofErr w:type="gramStart"/>
      <w:r w:rsidR="00170D87">
        <w:rPr>
          <w:rFonts w:cs="Arial"/>
        </w:rPr>
        <w:t>an</w:t>
      </w:r>
      <w:r w:rsidRPr="00980E5E">
        <w:rPr>
          <w:rFonts w:cs="Arial"/>
        </w:rPr>
        <w:t xml:space="preserve"> underspend</w:t>
      </w:r>
      <w:proofErr w:type="gramEnd"/>
      <w:r w:rsidRPr="00980E5E">
        <w:rPr>
          <w:rFonts w:cs="Arial"/>
        </w:rPr>
        <w:t xml:space="preserve"> of £0.400 million within the Homelessness prevention area and additional commercial property income of £0.400 million being received above that budgeted.  Carry forward request</w:t>
      </w:r>
      <w:r w:rsidR="00170D87">
        <w:rPr>
          <w:rFonts w:cs="Arial"/>
        </w:rPr>
        <w:t>s</w:t>
      </w:r>
      <w:r w:rsidRPr="00980E5E">
        <w:rPr>
          <w:rFonts w:cs="Arial"/>
        </w:rPr>
        <w:t xml:space="preserve"> </w:t>
      </w:r>
      <w:r w:rsidR="00170D87">
        <w:rPr>
          <w:rFonts w:cs="Arial"/>
        </w:rPr>
        <w:t xml:space="preserve">totalling £0.697 million </w:t>
      </w:r>
      <w:r w:rsidRPr="00980E5E">
        <w:rPr>
          <w:rFonts w:cs="Arial"/>
        </w:rPr>
        <w:t>have been submitted</w:t>
      </w:r>
      <w:r w:rsidR="00170D87">
        <w:rPr>
          <w:rFonts w:cs="Arial"/>
        </w:rPr>
        <w:t>, these are</w:t>
      </w:r>
      <w:r w:rsidRPr="00980E5E">
        <w:rPr>
          <w:rFonts w:cs="Arial"/>
        </w:rPr>
        <w:t xml:space="preserve"> for the Homelessness prevention funds</w:t>
      </w:r>
      <w:r w:rsidR="00170D87">
        <w:rPr>
          <w:rFonts w:cs="Arial"/>
        </w:rPr>
        <w:t>, which have</w:t>
      </w:r>
      <w:r w:rsidRPr="00980E5E">
        <w:rPr>
          <w:rFonts w:cs="Arial"/>
        </w:rPr>
        <w:t xml:space="preserve"> previously</w:t>
      </w:r>
      <w:r w:rsidR="00170D87">
        <w:rPr>
          <w:rFonts w:cs="Arial"/>
        </w:rPr>
        <w:t xml:space="preserve"> been</w:t>
      </w:r>
      <w:r w:rsidRPr="00980E5E">
        <w:rPr>
          <w:rFonts w:cs="Arial"/>
        </w:rPr>
        <w:t xml:space="preserve"> report</w:t>
      </w:r>
      <w:r w:rsidR="00170D87">
        <w:rPr>
          <w:rFonts w:cs="Arial"/>
        </w:rPr>
        <w:t>ed</w:t>
      </w:r>
      <w:r w:rsidRPr="00980E5E">
        <w:rPr>
          <w:rFonts w:cs="Arial"/>
        </w:rPr>
        <w:t xml:space="preserve"> to </w:t>
      </w:r>
      <w:r w:rsidR="00CB22FB">
        <w:rPr>
          <w:rFonts w:cs="Arial"/>
        </w:rPr>
        <w:t xml:space="preserve">the </w:t>
      </w:r>
      <w:r w:rsidRPr="00980E5E">
        <w:rPr>
          <w:rFonts w:cs="Arial"/>
        </w:rPr>
        <w:t>City Executive Board</w:t>
      </w:r>
      <w:r w:rsidR="00170D87">
        <w:rPr>
          <w:rFonts w:cs="Arial"/>
        </w:rPr>
        <w:t>,</w:t>
      </w:r>
      <w:r w:rsidRPr="00980E5E">
        <w:rPr>
          <w:rFonts w:cs="Arial"/>
        </w:rPr>
        <w:t xml:space="preserve"> and some planned maintenance schemes</w:t>
      </w:r>
      <w:r w:rsidR="00170D87">
        <w:rPr>
          <w:rFonts w:cs="Arial"/>
        </w:rPr>
        <w:t xml:space="preserve"> for the Town Hall and Covered Market</w:t>
      </w:r>
      <w:r w:rsidRPr="00980E5E">
        <w:rPr>
          <w:rFonts w:cs="Arial"/>
        </w:rPr>
        <w:t xml:space="preserve"> that have not been completed in year.</w:t>
      </w:r>
      <w:r w:rsidR="006F6DC5">
        <w:rPr>
          <w:rFonts w:cs="Arial"/>
        </w:rPr>
        <w:t xml:space="preserve"> </w:t>
      </w:r>
    </w:p>
    <w:p w:rsidR="00763052" w:rsidRDefault="00763052" w:rsidP="00763052">
      <w:pPr>
        <w:spacing w:after="0"/>
        <w:rPr>
          <w:rFonts w:cs="Arial"/>
        </w:rPr>
      </w:pPr>
    </w:p>
    <w:p w:rsidR="00763052" w:rsidRPr="00980E5E" w:rsidRDefault="00763052" w:rsidP="00763052">
      <w:pPr>
        <w:pStyle w:val="ListParagraph"/>
        <w:numPr>
          <w:ilvl w:val="0"/>
          <w:numId w:val="34"/>
        </w:numPr>
        <w:tabs>
          <w:tab w:val="clear" w:pos="426"/>
        </w:tabs>
        <w:spacing w:after="0" w:line="276" w:lineRule="auto"/>
        <w:contextualSpacing/>
        <w:rPr>
          <w:rFonts w:cs="Arial"/>
        </w:rPr>
      </w:pPr>
      <w:r w:rsidRPr="00980E5E">
        <w:rPr>
          <w:rFonts w:cs="Arial"/>
          <w:b/>
        </w:rPr>
        <w:t>Community Services</w:t>
      </w:r>
      <w:r w:rsidRPr="00980E5E">
        <w:rPr>
          <w:rFonts w:cs="Arial"/>
        </w:rPr>
        <w:t xml:space="preserve"> – year e</w:t>
      </w:r>
      <w:r w:rsidR="00E96D58">
        <w:rPr>
          <w:rFonts w:cs="Arial"/>
        </w:rPr>
        <w:t>nd favourable variance of (£0.159)</w:t>
      </w:r>
      <w:r w:rsidRPr="00980E5E">
        <w:rPr>
          <w:rFonts w:cs="Arial"/>
        </w:rPr>
        <w:t xml:space="preserve"> million, which is broadly in line with that projected, this is due to staff savings across the service area and additional income received </w:t>
      </w:r>
      <w:r w:rsidR="009150B3">
        <w:rPr>
          <w:rFonts w:cs="Arial"/>
        </w:rPr>
        <w:t>by the</w:t>
      </w:r>
      <w:r w:rsidR="006E57B1">
        <w:rPr>
          <w:rFonts w:cs="Arial"/>
        </w:rPr>
        <w:t xml:space="preserve"> </w:t>
      </w:r>
      <w:r w:rsidRPr="00980E5E">
        <w:rPr>
          <w:rFonts w:cs="Arial"/>
        </w:rPr>
        <w:t>Town Hall.</w:t>
      </w:r>
      <w:r w:rsidR="006E57B1">
        <w:rPr>
          <w:rFonts w:cs="Arial"/>
        </w:rPr>
        <w:t xml:space="preserve">  </w:t>
      </w:r>
      <w:r w:rsidRPr="00980E5E">
        <w:rPr>
          <w:rFonts w:cs="Arial"/>
        </w:rPr>
        <w:t xml:space="preserve">Carry forward requests </w:t>
      </w:r>
      <w:r w:rsidR="00170D87">
        <w:rPr>
          <w:rFonts w:cs="Arial"/>
        </w:rPr>
        <w:t xml:space="preserve">totalling £0.125 million </w:t>
      </w:r>
      <w:r w:rsidRPr="00980E5E">
        <w:rPr>
          <w:rFonts w:cs="Arial"/>
        </w:rPr>
        <w:t>have been submitted</w:t>
      </w:r>
      <w:r w:rsidR="00170D87">
        <w:rPr>
          <w:rFonts w:cs="Arial"/>
        </w:rPr>
        <w:t>.  A new scheme</w:t>
      </w:r>
      <w:r w:rsidRPr="00980E5E">
        <w:rPr>
          <w:rFonts w:cs="Arial"/>
        </w:rPr>
        <w:t xml:space="preserve"> for improving the meeting rooms in St Ald</w:t>
      </w:r>
      <w:r w:rsidR="00170D87">
        <w:rPr>
          <w:rFonts w:cs="Arial"/>
        </w:rPr>
        <w:t>ates Chambers</w:t>
      </w:r>
      <w:r w:rsidR="00B73D1D">
        <w:rPr>
          <w:rFonts w:cs="Arial"/>
        </w:rPr>
        <w:t xml:space="preserve"> offices</w:t>
      </w:r>
      <w:r w:rsidR="00170D87">
        <w:rPr>
          <w:rFonts w:cs="Arial"/>
        </w:rPr>
        <w:t xml:space="preserve"> and existing projects relating to Children</w:t>
      </w:r>
      <w:r w:rsidR="000D6E10">
        <w:rPr>
          <w:rFonts w:cs="Arial"/>
        </w:rPr>
        <w:t>’</w:t>
      </w:r>
      <w:r w:rsidR="00170D87">
        <w:rPr>
          <w:rFonts w:cs="Arial"/>
        </w:rPr>
        <w:t>s Centre consultancy and legal services</w:t>
      </w:r>
      <w:r w:rsidR="00C45ECB">
        <w:rPr>
          <w:rFonts w:cs="Arial"/>
        </w:rPr>
        <w:t>.</w:t>
      </w:r>
      <w:r w:rsidRPr="00980E5E">
        <w:rPr>
          <w:rFonts w:cs="Arial"/>
        </w:rPr>
        <w:t xml:space="preserve">  A Carry forward request has also been submitted for the Ward Member Budgets.</w:t>
      </w:r>
    </w:p>
    <w:p w:rsidR="00763052" w:rsidRDefault="00763052" w:rsidP="00763052">
      <w:pPr>
        <w:spacing w:after="0"/>
        <w:rPr>
          <w:rFonts w:cs="Arial"/>
        </w:rPr>
      </w:pPr>
    </w:p>
    <w:p w:rsidR="00763052" w:rsidRPr="00980E5E" w:rsidRDefault="00763052" w:rsidP="00763052">
      <w:pPr>
        <w:pStyle w:val="ListParagraph"/>
        <w:numPr>
          <w:ilvl w:val="0"/>
          <w:numId w:val="34"/>
        </w:numPr>
        <w:tabs>
          <w:tab w:val="clear" w:pos="426"/>
        </w:tabs>
        <w:spacing w:after="0" w:line="276" w:lineRule="auto"/>
        <w:contextualSpacing/>
        <w:rPr>
          <w:rFonts w:cs="Arial"/>
        </w:rPr>
      </w:pPr>
      <w:r w:rsidRPr="00980E5E">
        <w:rPr>
          <w:rFonts w:cs="Arial"/>
          <w:b/>
        </w:rPr>
        <w:t>Direct Services</w:t>
      </w:r>
      <w:r w:rsidRPr="00980E5E">
        <w:rPr>
          <w:rFonts w:cs="Arial"/>
        </w:rPr>
        <w:t xml:space="preserve"> – year e</w:t>
      </w:r>
      <w:r w:rsidR="00E96D58">
        <w:rPr>
          <w:rFonts w:cs="Arial"/>
        </w:rPr>
        <w:t>nd favourable variance of (£1.24</w:t>
      </w:r>
      <w:r w:rsidR="00170D87">
        <w:rPr>
          <w:rFonts w:cs="Arial"/>
        </w:rPr>
        <w:t xml:space="preserve">0) million, </w:t>
      </w:r>
      <w:r w:rsidRPr="00980E5E">
        <w:rPr>
          <w:rFonts w:cs="Arial"/>
        </w:rPr>
        <w:t xml:space="preserve">due to </w:t>
      </w:r>
      <w:r w:rsidR="00A84593">
        <w:rPr>
          <w:rFonts w:cs="Arial"/>
        </w:rPr>
        <w:t>savings on fuel (£0.132) million</w:t>
      </w:r>
      <w:r w:rsidR="00F3666F">
        <w:rPr>
          <w:rFonts w:cs="Arial"/>
        </w:rPr>
        <w:t xml:space="preserve">, </w:t>
      </w:r>
      <w:r w:rsidRPr="00980E5E">
        <w:rPr>
          <w:rFonts w:cs="Arial"/>
        </w:rPr>
        <w:t>overachievement of income in Motor Transport</w:t>
      </w:r>
      <w:r w:rsidR="00170D87">
        <w:rPr>
          <w:rFonts w:cs="Arial"/>
        </w:rPr>
        <w:t xml:space="preserve"> (£0.100) million</w:t>
      </w:r>
      <w:r w:rsidRPr="00980E5E">
        <w:rPr>
          <w:rFonts w:cs="Arial"/>
        </w:rPr>
        <w:t>, commercial Waste</w:t>
      </w:r>
      <w:r w:rsidR="00170D87">
        <w:rPr>
          <w:rFonts w:cs="Arial"/>
        </w:rPr>
        <w:t xml:space="preserve"> (£0.200) million</w:t>
      </w:r>
      <w:r w:rsidRPr="00980E5E">
        <w:rPr>
          <w:rFonts w:cs="Arial"/>
        </w:rPr>
        <w:t>, off street parking</w:t>
      </w:r>
      <w:r w:rsidR="00170D87">
        <w:rPr>
          <w:rFonts w:cs="Arial"/>
        </w:rPr>
        <w:t xml:space="preserve"> (£0.470) million</w:t>
      </w:r>
      <w:r w:rsidRPr="00980E5E">
        <w:rPr>
          <w:rFonts w:cs="Arial"/>
        </w:rPr>
        <w:t xml:space="preserve"> and engineering services</w:t>
      </w:r>
      <w:r w:rsidR="00170D87">
        <w:rPr>
          <w:rFonts w:cs="Arial"/>
        </w:rPr>
        <w:t xml:space="preserve"> (£0.250) million</w:t>
      </w:r>
      <w:r w:rsidRPr="00980E5E">
        <w:rPr>
          <w:rFonts w:cs="Arial"/>
        </w:rPr>
        <w:t>.  £0.</w:t>
      </w:r>
      <w:r w:rsidR="00A84593">
        <w:rPr>
          <w:rFonts w:cs="Arial"/>
        </w:rPr>
        <w:t>4</w:t>
      </w:r>
      <w:r w:rsidRPr="00980E5E">
        <w:rPr>
          <w:rFonts w:cs="Arial"/>
        </w:rPr>
        <w:t xml:space="preserve">00 million of this favourable variance has been requested to fund </w:t>
      </w:r>
      <w:r w:rsidR="00F1491F">
        <w:rPr>
          <w:rFonts w:cs="Arial"/>
        </w:rPr>
        <w:t>two</w:t>
      </w:r>
      <w:r w:rsidR="003C0094">
        <w:rPr>
          <w:rFonts w:cs="Arial"/>
        </w:rPr>
        <w:t xml:space="preserve"> </w:t>
      </w:r>
      <w:r w:rsidRPr="00980E5E">
        <w:rPr>
          <w:rFonts w:cs="Arial"/>
        </w:rPr>
        <w:t xml:space="preserve">new bids in 2017/18 for </w:t>
      </w:r>
      <w:r w:rsidR="003C0094">
        <w:rPr>
          <w:rFonts w:cs="Arial"/>
        </w:rPr>
        <w:t xml:space="preserve">the </w:t>
      </w:r>
      <w:r w:rsidRPr="00980E5E">
        <w:rPr>
          <w:rFonts w:cs="Arial"/>
        </w:rPr>
        <w:t xml:space="preserve">extension to Cowley Marsh Depot and funding </w:t>
      </w:r>
      <w:r w:rsidR="00A84593">
        <w:rPr>
          <w:rFonts w:cs="Arial"/>
        </w:rPr>
        <w:t>the set up of the</w:t>
      </w:r>
      <w:r w:rsidRPr="00980E5E">
        <w:rPr>
          <w:rFonts w:cs="Arial"/>
        </w:rPr>
        <w:t xml:space="preserve"> new </w:t>
      </w:r>
      <w:r w:rsidR="00A84593">
        <w:rPr>
          <w:rFonts w:cs="Arial"/>
        </w:rPr>
        <w:t>Trading C</w:t>
      </w:r>
      <w:r w:rsidRPr="00980E5E">
        <w:rPr>
          <w:rFonts w:cs="Arial"/>
        </w:rPr>
        <w:t>ompany.</w:t>
      </w:r>
    </w:p>
    <w:p w:rsidR="00D82027" w:rsidRPr="00D82027" w:rsidRDefault="00D82027" w:rsidP="007F4328">
      <w:pPr>
        <w:spacing w:after="0" w:line="276" w:lineRule="auto"/>
        <w:contextualSpacing/>
        <w:rPr>
          <w:rFonts w:cs="Arial"/>
        </w:rPr>
      </w:pPr>
    </w:p>
    <w:p w:rsidR="00C45ECB" w:rsidRPr="00980E5E" w:rsidRDefault="00C45ECB" w:rsidP="00763052">
      <w:pPr>
        <w:pStyle w:val="ListParagraph"/>
        <w:numPr>
          <w:ilvl w:val="0"/>
          <w:numId w:val="34"/>
        </w:numPr>
        <w:tabs>
          <w:tab w:val="clear" w:pos="426"/>
        </w:tabs>
        <w:spacing w:after="0" w:line="276" w:lineRule="auto"/>
        <w:contextualSpacing/>
        <w:rPr>
          <w:rFonts w:cs="Arial"/>
        </w:rPr>
      </w:pPr>
      <w:r w:rsidRPr="00C45ECB">
        <w:rPr>
          <w:rFonts w:cs="Arial"/>
          <w:b/>
        </w:rPr>
        <w:t xml:space="preserve">Financial </w:t>
      </w:r>
      <w:proofErr w:type="gramStart"/>
      <w:r w:rsidRPr="00C45ECB">
        <w:rPr>
          <w:rFonts w:cs="Arial"/>
          <w:b/>
        </w:rPr>
        <w:t>Services</w:t>
      </w:r>
      <w:r>
        <w:rPr>
          <w:rFonts w:cs="Arial"/>
        </w:rPr>
        <w:t xml:space="preserve">  -</w:t>
      </w:r>
      <w:proofErr w:type="gramEnd"/>
      <w:r>
        <w:rPr>
          <w:rFonts w:cs="Arial"/>
        </w:rPr>
        <w:t xml:space="preserve"> </w:t>
      </w:r>
      <w:r w:rsidRPr="00C45ECB">
        <w:rPr>
          <w:rFonts w:cs="Arial"/>
        </w:rPr>
        <w:t>year end adverse variance of £0.100 million due to reduced court costs income from Council Tax summons</w:t>
      </w:r>
      <w:r w:rsidR="006E57B1">
        <w:rPr>
          <w:rFonts w:cs="Arial"/>
        </w:rPr>
        <w:t>, as previously reported to City Executive Board</w:t>
      </w:r>
      <w:r w:rsidRPr="00C45ECB">
        <w:rPr>
          <w:rFonts w:cs="Arial"/>
        </w:rPr>
        <w:t xml:space="preserve">. Proactive work has reduced the number of court cases and secured payments of </w:t>
      </w:r>
      <w:r w:rsidR="004C195A">
        <w:rPr>
          <w:rFonts w:cs="Arial"/>
        </w:rPr>
        <w:t>C</w:t>
      </w:r>
      <w:r w:rsidR="004C195A" w:rsidRPr="00C45ECB">
        <w:rPr>
          <w:rFonts w:cs="Arial"/>
        </w:rPr>
        <w:t>ouncil</w:t>
      </w:r>
      <w:r w:rsidRPr="00C45ECB">
        <w:rPr>
          <w:rFonts w:cs="Arial"/>
        </w:rPr>
        <w:t xml:space="preserve"> </w:t>
      </w:r>
      <w:r w:rsidR="004C195A">
        <w:rPr>
          <w:rFonts w:cs="Arial"/>
        </w:rPr>
        <w:t>T</w:t>
      </w:r>
      <w:r w:rsidR="004C195A" w:rsidRPr="00C45ECB">
        <w:rPr>
          <w:rFonts w:cs="Arial"/>
        </w:rPr>
        <w:t>ax</w:t>
      </w:r>
      <w:r w:rsidRPr="00C45ECB">
        <w:rPr>
          <w:rFonts w:cs="Arial"/>
        </w:rPr>
        <w:t xml:space="preserve"> arrears to the detriment of court cost income</w:t>
      </w:r>
      <w:r w:rsidR="003C0094">
        <w:rPr>
          <w:rFonts w:cs="Arial"/>
        </w:rPr>
        <w:t>.</w:t>
      </w:r>
    </w:p>
    <w:p w:rsidR="00763052" w:rsidRPr="00980E5E" w:rsidRDefault="00763052" w:rsidP="004169B8">
      <w:pPr>
        <w:pStyle w:val="ListParagraph"/>
        <w:numPr>
          <w:ilvl w:val="0"/>
          <w:numId w:val="0"/>
        </w:numPr>
        <w:tabs>
          <w:tab w:val="clear" w:pos="426"/>
        </w:tabs>
        <w:spacing w:after="0" w:line="276" w:lineRule="auto"/>
        <w:contextualSpacing/>
        <w:rPr>
          <w:rFonts w:cs="Arial"/>
        </w:rPr>
      </w:pPr>
    </w:p>
    <w:p w:rsidR="0095091F" w:rsidRPr="0095091F" w:rsidRDefault="00763052" w:rsidP="0095091F">
      <w:pPr>
        <w:pStyle w:val="ListParagraph"/>
        <w:numPr>
          <w:ilvl w:val="0"/>
          <w:numId w:val="34"/>
        </w:numPr>
        <w:tabs>
          <w:tab w:val="clear" w:pos="426"/>
        </w:tabs>
        <w:rPr>
          <w:color w:val="auto"/>
        </w:rPr>
      </w:pPr>
      <w:r w:rsidRPr="00980E5E">
        <w:rPr>
          <w:rFonts w:cs="Arial"/>
          <w:b/>
        </w:rPr>
        <w:t>Law &amp; Governance</w:t>
      </w:r>
      <w:r w:rsidRPr="00980E5E">
        <w:rPr>
          <w:rFonts w:cs="Arial"/>
        </w:rPr>
        <w:t xml:space="preserve"> – year end favourable variance of (£0.119) million due to staffing savings</w:t>
      </w:r>
      <w:r w:rsidR="00A84593">
        <w:rPr>
          <w:rFonts w:cs="Arial"/>
        </w:rPr>
        <w:t xml:space="preserve"> across the team, </w:t>
      </w:r>
      <w:r w:rsidR="00156074">
        <w:rPr>
          <w:rFonts w:cs="Arial"/>
        </w:rPr>
        <w:t xml:space="preserve">and </w:t>
      </w:r>
      <w:proofErr w:type="gramStart"/>
      <w:r w:rsidR="00156074">
        <w:rPr>
          <w:rFonts w:cs="Arial"/>
        </w:rPr>
        <w:t>an underspend</w:t>
      </w:r>
      <w:proofErr w:type="gramEnd"/>
      <w:r w:rsidR="00156074">
        <w:rPr>
          <w:rFonts w:cs="Arial"/>
        </w:rPr>
        <w:t xml:space="preserve"> on </w:t>
      </w:r>
      <w:r w:rsidR="00EB1DA7">
        <w:rPr>
          <w:rFonts w:cs="Arial"/>
        </w:rPr>
        <w:t>external</w:t>
      </w:r>
      <w:r w:rsidR="00156074">
        <w:rPr>
          <w:rFonts w:cs="Arial"/>
        </w:rPr>
        <w:t xml:space="preserve"> </w:t>
      </w:r>
      <w:r w:rsidR="00EB1DA7">
        <w:rPr>
          <w:rFonts w:cs="Arial"/>
        </w:rPr>
        <w:t>legal</w:t>
      </w:r>
      <w:r w:rsidR="00156074">
        <w:rPr>
          <w:rFonts w:cs="Arial"/>
        </w:rPr>
        <w:t xml:space="preserve"> fees</w:t>
      </w:r>
      <w:r w:rsidRPr="00980E5E">
        <w:rPr>
          <w:rFonts w:cs="Arial"/>
        </w:rPr>
        <w:t>.  A carry forward request for £0.0</w:t>
      </w:r>
      <w:r w:rsidR="00156074">
        <w:rPr>
          <w:rFonts w:cs="Arial"/>
        </w:rPr>
        <w:t>30 million has been submitted f</w:t>
      </w:r>
      <w:r w:rsidRPr="00980E5E">
        <w:rPr>
          <w:rFonts w:cs="Arial"/>
        </w:rPr>
        <w:t>o</w:t>
      </w:r>
      <w:r w:rsidR="00156074">
        <w:rPr>
          <w:rFonts w:cs="Arial"/>
        </w:rPr>
        <w:t>r</w:t>
      </w:r>
      <w:r w:rsidR="00CB5E77">
        <w:rPr>
          <w:rFonts w:cs="Arial"/>
        </w:rPr>
        <w:t xml:space="preserve"> </w:t>
      </w:r>
      <w:r w:rsidRPr="00980E5E">
        <w:rPr>
          <w:rFonts w:cs="Arial"/>
        </w:rPr>
        <w:t xml:space="preserve">services relating to the Oxford </w:t>
      </w:r>
      <w:r w:rsidR="00340275">
        <w:rPr>
          <w:rFonts w:cs="Arial"/>
        </w:rPr>
        <w:t xml:space="preserve">Local </w:t>
      </w:r>
      <w:r w:rsidRPr="00980E5E">
        <w:rPr>
          <w:rFonts w:cs="Arial"/>
        </w:rPr>
        <w:t>Plan</w:t>
      </w:r>
      <w:r w:rsidR="00156074">
        <w:rPr>
          <w:rFonts w:cs="Arial"/>
        </w:rPr>
        <w:t>.</w:t>
      </w:r>
    </w:p>
    <w:p w:rsidR="0095091F" w:rsidRPr="00060092" w:rsidRDefault="0095091F" w:rsidP="00763052">
      <w:pPr>
        <w:pStyle w:val="ListParagraph"/>
        <w:numPr>
          <w:ilvl w:val="0"/>
          <w:numId w:val="34"/>
        </w:numPr>
        <w:tabs>
          <w:tab w:val="clear" w:pos="426"/>
        </w:tabs>
        <w:rPr>
          <w:color w:val="auto"/>
        </w:rPr>
      </w:pPr>
      <w:r w:rsidRPr="0095091F">
        <w:rPr>
          <w:b/>
          <w:color w:val="auto"/>
        </w:rPr>
        <w:t>Service Level Agreements and Capital Charges</w:t>
      </w:r>
      <w:r>
        <w:rPr>
          <w:color w:val="auto"/>
        </w:rPr>
        <w:t xml:space="preserve"> are showing </w:t>
      </w:r>
      <w:r w:rsidR="004169B8">
        <w:rPr>
          <w:color w:val="auto"/>
        </w:rPr>
        <w:t>a favourable variance of (£5.061</w:t>
      </w:r>
      <w:r>
        <w:rPr>
          <w:color w:val="auto"/>
        </w:rPr>
        <w:t xml:space="preserve">) million due to </w:t>
      </w:r>
      <w:r w:rsidR="009A2E0A">
        <w:rPr>
          <w:color w:val="auto"/>
        </w:rPr>
        <w:t xml:space="preserve">a </w:t>
      </w:r>
      <w:r>
        <w:rPr>
          <w:color w:val="auto"/>
        </w:rPr>
        <w:t>significant upward revaluation of the Council</w:t>
      </w:r>
      <w:r w:rsidR="007B0F89">
        <w:rPr>
          <w:color w:val="auto"/>
        </w:rPr>
        <w:t>’s</w:t>
      </w:r>
      <w:r>
        <w:rPr>
          <w:color w:val="auto"/>
        </w:rPr>
        <w:t xml:space="preserve"> Investment Properties.  This is off set by a corresponding entry </w:t>
      </w:r>
      <w:r w:rsidR="004169B8">
        <w:rPr>
          <w:color w:val="auto"/>
        </w:rPr>
        <w:t xml:space="preserve">in accordance with Local Government accounting </w:t>
      </w:r>
      <w:r>
        <w:rPr>
          <w:color w:val="auto"/>
        </w:rPr>
        <w:t xml:space="preserve">within the Corporate </w:t>
      </w:r>
      <w:r w:rsidR="007B0F89">
        <w:rPr>
          <w:color w:val="auto"/>
        </w:rPr>
        <w:t>Accounts</w:t>
      </w:r>
      <w:r>
        <w:rPr>
          <w:color w:val="auto"/>
        </w:rPr>
        <w:t>, to ensure that this does not have an overall impact on the bottom line of the financial accounts.</w:t>
      </w:r>
    </w:p>
    <w:p w:rsidR="00D163D7" w:rsidRPr="001A4DDB" w:rsidRDefault="00D163D7" w:rsidP="00763052">
      <w:pPr>
        <w:pStyle w:val="ListParagraph"/>
        <w:numPr>
          <w:ilvl w:val="0"/>
          <w:numId w:val="0"/>
        </w:numPr>
        <w:tabs>
          <w:tab w:val="clear" w:pos="426"/>
        </w:tabs>
        <w:ind w:left="1429"/>
        <w:rPr>
          <w:color w:val="auto"/>
        </w:rPr>
      </w:pPr>
    </w:p>
    <w:p w:rsidR="008D5B32" w:rsidRPr="00060092" w:rsidRDefault="00156074" w:rsidP="008D5B32">
      <w:pPr>
        <w:pStyle w:val="ListParagraph"/>
        <w:numPr>
          <w:ilvl w:val="0"/>
          <w:numId w:val="0"/>
        </w:numPr>
        <w:rPr>
          <w:b/>
          <w:color w:val="auto"/>
        </w:rPr>
      </w:pPr>
      <w:r>
        <w:rPr>
          <w:rFonts w:eastAsia="Calibri" w:cs="Arial"/>
          <w:b/>
          <w:color w:val="auto"/>
        </w:rPr>
        <w:t>Corporate Accounts, Contingencies and Transfers to/from Reserves</w:t>
      </w:r>
    </w:p>
    <w:p w:rsidR="00156074" w:rsidRDefault="00156074" w:rsidP="00536537">
      <w:pPr>
        <w:pStyle w:val="ListParagraph"/>
      </w:pPr>
      <w:r>
        <w:t xml:space="preserve">The balance of </w:t>
      </w:r>
      <w:r w:rsidR="0095091F">
        <w:t>£</w:t>
      </w:r>
      <w:r w:rsidR="004169B8">
        <w:t>5.292</w:t>
      </w:r>
      <w:r w:rsidR="0095091F">
        <w:t xml:space="preserve"> million on the </w:t>
      </w:r>
      <w:r w:rsidR="00614AE0">
        <w:t xml:space="preserve">Corporate Accounts is mainly from the </w:t>
      </w:r>
      <w:r w:rsidR="0095091F">
        <w:t>Transfer to Capital R</w:t>
      </w:r>
      <w:r w:rsidR="00614AE0">
        <w:t xml:space="preserve">eserve line, which </w:t>
      </w:r>
      <w:r w:rsidR="0095091F">
        <w:t>is the reversal of the upward revaluation of the Council</w:t>
      </w:r>
      <w:r w:rsidR="00B40646">
        <w:t>’s</w:t>
      </w:r>
      <w:r w:rsidR="0095091F">
        <w:t xml:space="preserve"> Investment Properties as mentioned in the paragraph above.</w:t>
      </w:r>
    </w:p>
    <w:p w:rsidR="0095091F" w:rsidRDefault="0095091F" w:rsidP="00536537">
      <w:pPr>
        <w:pStyle w:val="ListParagraph"/>
      </w:pPr>
      <w:r w:rsidRPr="00BA0971">
        <w:rPr>
          <w:b/>
        </w:rPr>
        <w:t>Local cost of benefits</w:t>
      </w:r>
      <w:r>
        <w:t xml:space="preserve">  - spend on housing benefit expenditure net of housing benefit subsidy and income from overpaid housing benefit shows an adverse variance of around £0.946 million, this has been partially mitigated by transfers from Earmarked Reserve</w:t>
      </w:r>
      <w:r w:rsidR="004169B8">
        <w:t>s established</w:t>
      </w:r>
      <w:r>
        <w:t xml:space="preserve"> specifically for this purpose to give a final outturn position of £0.646 million</w:t>
      </w:r>
      <w:r w:rsidR="00BA0971">
        <w:t>.  As previously reported this has largely arisen due to lost subsidy from errors and delays</w:t>
      </w:r>
      <w:r w:rsidR="004169B8">
        <w:t xml:space="preserve"> in the processing of housing benefit claims.  </w:t>
      </w:r>
      <w:r w:rsidR="00BF4935">
        <w:t xml:space="preserve">Whilst not wishing to dismiss the errors, the </w:t>
      </w:r>
      <w:r w:rsidR="00A94633">
        <w:t>h</w:t>
      </w:r>
      <w:r w:rsidR="00BF4935">
        <w:t xml:space="preserve">ousing benefit </w:t>
      </w:r>
      <w:r w:rsidR="00A94633">
        <w:t>legislation</w:t>
      </w:r>
      <w:r w:rsidR="00BF4935">
        <w:t xml:space="preserve"> is complex and </w:t>
      </w:r>
      <w:r w:rsidR="00A94633">
        <w:t xml:space="preserve">continually changing in response to changes in welfare reforms. </w:t>
      </w:r>
      <w:r w:rsidR="00BF4935">
        <w:t xml:space="preserve"> </w:t>
      </w:r>
      <w:r w:rsidR="000D6E10">
        <w:t>A</w:t>
      </w:r>
      <w:r w:rsidR="004169B8">
        <w:t xml:space="preserve"> recovery plan </w:t>
      </w:r>
      <w:r w:rsidR="00A94633">
        <w:t xml:space="preserve">which includes additional staff training </w:t>
      </w:r>
      <w:r w:rsidR="004169B8">
        <w:t>is in place to mitigate these issues going forward</w:t>
      </w:r>
      <w:r w:rsidR="00BA0971">
        <w:t>.</w:t>
      </w:r>
    </w:p>
    <w:p w:rsidR="00BA0971" w:rsidRPr="00457CEF" w:rsidRDefault="00BA0971" w:rsidP="00536537">
      <w:pPr>
        <w:pStyle w:val="ListParagraph"/>
      </w:pPr>
      <w:r>
        <w:rPr>
          <w:b/>
        </w:rPr>
        <w:t xml:space="preserve">Investment Income </w:t>
      </w:r>
      <w:r>
        <w:t>– a favourable variance of £0.398 million has arisen from increased investment income from our property fund investments and</w:t>
      </w:r>
      <w:r w:rsidR="004169B8">
        <w:t xml:space="preserve"> loans to</w:t>
      </w:r>
      <w:r>
        <w:t xml:space="preserve"> </w:t>
      </w:r>
      <w:proofErr w:type="spellStart"/>
      <w:r w:rsidRPr="00457CEF">
        <w:t>Oxwed</w:t>
      </w:r>
      <w:proofErr w:type="spellEnd"/>
      <w:r w:rsidR="0036290C">
        <w:t xml:space="preserve"> (our West End delivery partnership)</w:t>
      </w:r>
      <w:r w:rsidRPr="00457CEF">
        <w:t>.</w:t>
      </w:r>
    </w:p>
    <w:p w:rsidR="00156074" w:rsidRPr="00457CEF" w:rsidRDefault="00156074" w:rsidP="00156074">
      <w:pPr>
        <w:pStyle w:val="ListParagraph"/>
        <w:numPr>
          <w:ilvl w:val="0"/>
          <w:numId w:val="0"/>
        </w:numPr>
        <w:ind w:left="426" w:hanging="426"/>
        <w:rPr>
          <w:b/>
        </w:rPr>
      </w:pPr>
      <w:r w:rsidRPr="00457CEF">
        <w:rPr>
          <w:b/>
        </w:rPr>
        <w:t>Housing Revenue Account</w:t>
      </w:r>
    </w:p>
    <w:p w:rsidR="00EB068A" w:rsidRPr="00457CEF" w:rsidRDefault="00536537" w:rsidP="00C12317">
      <w:pPr>
        <w:pStyle w:val="ListParagraph"/>
      </w:pPr>
      <w:r w:rsidRPr="00457CEF">
        <w:t>The</w:t>
      </w:r>
      <w:r w:rsidR="00C12317" w:rsidRPr="00457CEF">
        <w:t xml:space="preserve"> </w:t>
      </w:r>
      <w:r w:rsidR="00EB068A" w:rsidRPr="00457CEF">
        <w:t xml:space="preserve">HRA </w:t>
      </w:r>
      <w:r w:rsidR="0074211E" w:rsidRPr="00457CEF">
        <w:t>is</w:t>
      </w:r>
      <w:r w:rsidR="00EB068A" w:rsidRPr="00457CEF">
        <w:t xml:space="preserve"> showing</w:t>
      </w:r>
      <w:r w:rsidR="0074211E" w:rsidRPr="00457CEF">
        <w:t xml:space="preserve"> a </w:t>
      </w:r>
      <w:r w:rsidR="00C12317" w:rsidRPr="00457CEF">
        <w:t>favourabl</w:t>
      </w:r>
      <w:r w:rsidR="002E3561" w:rsidRPr="00457CEF">
        <w:t xml:space="preserve">e </w:t>
      </w:r>
      <w:r w:rsidR="00C12317" w:rsidRPr="00457CEF">
        <w:t xml:space="preserve">variance on the </w:t>
      </w:r>
      <w:r w:rsidRPr="00457CEF">
        <w:t xml:space="preserve">HRA </w:t>
      </w:r>
      <w:r w:rsidR="0074211E" w:rsidRPr="00457CEF">
        <w:t>of</w:t>
      </w:r>
      <w:r w:rsidRPr="00457CEF">
        <w:t xml:space="preserve"> </w:t>
      </w:r>
      <w:r w:rsidR="00703F5D" w:rsidRPr="00457CEF">
        <w:t>(</w:t>
      </w:r>
      <w:r w:rsidR="001E5C87" w:rsidRPr="00457CEF">
        <w:t>£0.</w:t>
      </w:r>
      <w:r w:rsidR="00457CEF" w:rsidRPr="00457CEF">
        <w:t>386</w:t>
      </w:r>
      <w:r w:rsidR="00703F5D" w:rsidRPr="00457CEF">
        <w:t>)</w:t>
      </w:r>
      <w:r w:rsidR="001E5C87" w:rsidRPr="00457CEF">
        <w:t xml:space="preserve"> million against a</w:t>
      </w:r>
      <w:r w:rsidR="00EB068A" w:rsidRPr="00457CEF">
        <w:t xml:space="preserve"> latest</w:t>
      </w:r>
      <w:r w:rsidR="001E5C87" w:rsidRPr="00457CEF">
        <w:t xml:space="preserve"> budgeted surplus of </w:t>
      </w:r>
      <w:r w:rsidR="00703F5D" w:rsidRPr="00457CEF">
        <w:t>(</w:t>
      </w:r>
      <w:r w:rsidR="001E5C87" w:rsidRPr="00457CEF">
        <w:t>£0.1</w:t>
      </w:r>
      <w:r w:rsidR="00EB068A" w:rsidRPr="00457CEF">
        <w:t>6</w:t>
      </w:r>
      <w:r w:rsidR="00FB282D" w:rsidRPr="00457CEF">
        <w:t>5</w:t>
      </w:r>
      <w:r w:rsidR="00703F5D" w:rsidRPr="00457CEF">
        <w:t>)</w:t>
      </w:r>
      <w:r w:rsidR="001E5C87" w:rsidRPr="00457CEF">
        <w:t xml:space="preserve"> million</w:t>
      </w:r>
      <w:r w:rsidR="000D6E10" w:rsidRPr="00457CEF">
        <w:t xml:space="preserve"> (Appendix C)</w:t>
      </w:r>
      <w:r w:rsidR="00C12317" w:rsidRPr="00457CEF">
        <w:t xml:space="preserve">.  This is </w:t>
      </w:r>
      <w:r w:rsidR="00EB068A" w:rsidRPr="00457CEF">
        <w:t xml:space="preserve">prior to any carry forward </w:t>
      </w:r>
      <w:r w:rsidR="00C12317" w:rsidRPr="00457CEF">
        <w:t>request</w:t>
      </w:r>
      <w:r w:rsidR="00EB068A" w:rsidRPr="00457CEF">
        <w:t>s, which were made totalling</w:t>
      </w:r>
      <w:r w:rsidR="00C12317" w:rsidRPr="00457CEF">
        <w:t xml:space="preserve"> £0.386 million, </w:t>
      </w:r>
      <w:r w:rsidR="003E74D0" w:rsidRPr="00457CEF">
        <w:t xml:space="preserve">£300k of new </w:t>
      </w:r>
      <w:r w:rsidR="00885E16" w:rsidRPr="00457CEF">
        <w:t>schemes</w:t>
      </w:r>
      <w:r w:rsidR="003E74D0" w:rsidRPr="00457CEF">
        <w:t xml:space="preserve"> and £86.4k in respect of slippage</w:t>
      </w:r>
      <w:r w:rsidR="00C12317" w:rsidRPr="00457CEF">
        <w:t>.</w:t>
      </w:r>
      <w:r w:rsidR="003E74D0" w:rsidRPr="00457CEF">
        <w:t xml:space="preserve"> </w:t>
      </w:r>
    </w:p>
    <w:p w:rsidR="00C12317" w:rsidRDefault="003E74D0" w:rsidP="00C12317">
      <w:pPr>
        <w:pStyle w:val="ListParagraph"/>
      </w:pPr>
      <w:r>
        <w:t>New schemes include :</w:t>
      </w:r>
    </w:p>
    <w:p w:rsidR="003E74D0" w:rsidRDefault="003E74D0" w:rsidP="003E74D0">
      <w:pPr>
        <w:pStyle w:val="ListParagraph"/>
        <w:numPr>
          <w:ilvl w:val="0"/>
          <w:numId w:val="38"/>
        </w:numPr>
      </w:pPr>
      <w:r>
        <w:t>£200k representing the HRA funding contribution in respect of the increased cost of the replacement Housing Management system</w:t>
      </w:r>
    </w:p>
    <w:p w:rsidR="003E74D0" w:rsidRDefault="0036290C" w:rsidP="003E74D0">
      <w:pPr>
        <w:pStyle w:val="ListParagraph"/>
        <w:numPr>
          <w:ilvl w:val="0"/>
          <w:numId w:val="38"/>
        </w:numPr>
      </w:pPr>
      <w:r>
        <w:t>£</w:t>
      </w:r>
      <w:r w:rsidR="003E74D0">
        <w:t xml:space="preserve">100k to represents costs that the </w:t>
      </w:r>
      <w:r>
        <w:t>C</w:t>
      </w:r>
      <w:r w:rsidR="003E74D0">
        <w:t xml:space="preserve">ouncil </w:t>
      </w:r>
      <w:r>
        <w:t xml:space="preserve">is </w:t>
      </w:r>
      <w:r w:rsidR="003E74D0">
        <w:t>likely to incur in tribunal fees in respect of leaseholder major works on Plowman tower</w:t>
      </w:r>
    </w:p>
    <w:p w:rsidR="00703F5D" w:rsidRDefault="00703F5D" w:rsidP="00536537">
      <w:pPr>
        <w:pStyle w:val="ListParagraph"/>
      </w:pPr>
      <w:r>
        <w:t>The HRA working balance remains unchanged at £4.0 million.</w:t>
      </w:r>
    </w:p>
    <w:p w:rsidR="00536537" w:rsidRDefault="00703F5D" w:rsidP="00536537">
      <w:pPr>
        <w:pStyle w:val="ListParagraph"/>
      </w:pPr>
      <w:r>
        <w:t>The year end variance is shown as (£0.1</w:t>
      </w:r>
      <w:r w:rsidR="00AF447C">
        <w:t>65</w:t>
      </w:r>
      <w:r>
        <w:t>) million and the m</w:t>
      </w:r>
      <w:r w:rsidR="00536537" w:rsidRPr="00223D22">
        <w:t>ajor variations include:</w:t>
      </w:r>
    </w:p>
    <w:p w:rsidR="00764912" w:rsidRPr="00912692" w:rsidRDefault="00764912" w:rsidP="00764912">
      <w:pPr>
        <w:pStyle w:val="ListParagraph"/>
        <w:numPr>
          <w:ilvl w:val="1"/>
          <w:numId w:val="30"/>
        </w:numPr>
      </w:pPr>
      <w:r w:rsidRPr="00912692">
        <w:rPr>
          <w:b/>
        </w:rPr>
        <w:t>Dwelling Rent</w:t>
      </w:r>
      <w:r w:rsidRPr="00912692">
        <w:t xml:space="preserve"> </w:t>
      </w:r>
      <w:r w:rsidR="00703F5D">
        <w:t xml:space="preserve">has </w:t>
      </w:r>
      <w:r w:rsidR="00EB66F1">
        <w:t xml:space="preserve">a </w:t>
      </w:r>
      <w:r w:rsidRPr="00912692">
        <w:t>favourable variance of (£0.</w:t>
      </w:r>
      <w:r w:rsidR="00703F5D">
        <w:t>339) million</w:t>
      </w:r>
      <w:r w:rsidRPr="00912692">
        <w:t xml:space="preserve">, this is due to fewer Right </w:t>
      </w:r>
      <w:proofErr w:type="gramStart"/>
      <w:r w:rsidRPr="00912692">
        <w:t>To</w:t>
      </w:r>
      <w:proofErr w:type="gramEnd"/>
      <w:r w:rsidRPr="00912692">
        <w:t xml:space="preserve"> Buy sales </w:t>
      </w:r>
      <w:r w:rsidR="00703F5D">
        <w:t>during the year</w:t>
      </w:r>
      <w:r w:rsidRPr="00912692">
        <w:t xml:space="preserve"> than originally projected</w:t>
      </w:r>
      <w:r w:rsidR="006B6ED9">
        <w:t xml:space="preserve"> (budgeted 40 RTB sale and actual RTB disposal totalled 25)</w:t>
      </w:r>
      <w:r w:rsidRPr="00912692">
        <w:t>.  Additional rental income</w:t>
      </w:r>
      <w:r w:rsidR="00153496">
        <w:t xml:space="preserve">, </w:t>
      </w:r>
      <w:r w:rsidR="006B6ED9">
        <w:t>was</w:t>
      </w:r>
      <w:r w:rsidRPr="00912692">
        <w:t xml:space="preserve"> also received from the 75 units being </w:t>
      </w:r>
      <w:r w:rsidR="006B6ED9">
        <w:t>made available for</w:t>
      </w:r>
      <w:r w:rsidRPr="00912692">
        <w:t xml:space="preserve"> Temporary Accommodation and</w:t>
      </w:r>
      <w:r w:rsidR="00703F5D">
        <w:t xml:space="preserve"> a number of void properties</w:t>
      </w:r>
      <w:r w:rsidR="006B6ED9">
        <w:t xml:space="preserve"> converged to </w:t>
      </w:r>
      <w:r w:rsidRPr="00912692">
        <w:t xml:space="preserve">formulae rent during the year.  </w:t>
      </w:r>
    </w:p>
    <w:p w:rsidR="00764912" w:rsidRPr="00912692" w:rsidRDefault="00764912" w:rsidP="00764912">
      <w:pPr>
        <w:pStyle w:val="ListParagraph"/>
        <w:numPr>
          <w:ilvl w:val="1"/>
          <w:numId w:val="30"/>
        </w:numPr>
      </w:pPr>
      <w:r w:rsidRPr="00912692">
        <w:rPr>
          <w:b/>
        </w:rPr>
        <w:t xml:space="preserve">Service Charges </w:t>
      </w:r>
      <w:r w:rsidR="00703F5D">
        <w:t>has</w:t>
      </w:r>
      <w:r w:rsidR="00153496">
        <w:t xml:space="preserve"> a</w:t>
      </w:r>
      <w:r w:rsidR="00703F5D">
        <w:t xml:space="preserve"> favourable variance of (£0.134</w:t>
      </w:r>
      <w:r w:rsidRPr="00912692">
        <w:t xml:space="preserve">) million, due to changes in the </w:t>
      </w:r>
      <w:r w:rsidR="00703F5D">
        <w:t xml:space="preserve">leaseholder </w:t>
      </w:r>
      <w:r w:rsidRPr="00912692">
        <w:t>charges</w:t>
      </w:r>
      <w:r w:rsidR="00703F5D">
        <w:t xml:space="preserve"> that had not been budgeted for</w:t>
      </w:r>
      <w:r w:rsidRPr="00912692">
        <w:t>.</w:t>
      </w:r>
    </w:p>
    <w:p w:rsidR="00764912" w:rsidRPr="009823A5" w:rsidRDefault="00764912" w:rsidP="00764912">
      <w:pPr>
        <w:pStyle w:val="ListParagraph"/>
        <w:numPr>
          <w:ilvl w:val="1"/>
          <w:numId w:val="30"/>
        </w:numPr>
        <w:rPr>
          <w:color w:val="FF0000"/>
        </w:rPr>
      </w:pPr>
      <w:r w:rsidRPr="00912692">
        <w:rPr>
          <w:b/>
        </w:rPr>
        <w:t>Management and Services (Stock Related)</w:t>
      </w:r>
      <w:r w:rsidRPr="00912692">
        <w:t xml:space="preserve"> </w:t>
      </w:r>
      <w:r w:rsidR="00041770">
        <w:t xml:space="preserve">has a favourable variance of </w:t>
      </w:r>
      <w:r w:rsidRPr="00912692">
        <w:t>(£0.</w:t>
      </w:r>
      <w:r w:rsidR="00041770">
        <w:t>797</w:t>
      </w:r>
      <w:r w:rsidRPr="00912692">
        <w:t>) million which is due staff vacancies</w:t>
      </w:r>
      <w:r w:rsidR="00041770">
        <w:t>,</w:t>
      </w:r>
      <w:r w:rsidR="006B6ED9">
        <w:t xml:space="preserve"> savings in spend associated with public utilities, external consultancy</w:t>
      </w:r>
      <w:r w:rsidR="0036290C">
        <w:t>, and</w:t>
      </w:r>
      <w:r w:rsidR="006B6ED9">
        <w:t xml:space="preserve"> </w:t>
      </w:r>
      <w:r w:rsidR="00041770">
        <w:t>Council Tax associated with Void properties</w:t>
      </w:r>
      <w:r w:rsidRPr="009823A5">
        <w:rPr>
          <w:color w:val="FF0000"/>
        </w:rPr>
        <w:t>.</w:t>
      </w:r>
      <w:r w:rsidR="00041770">
        <w:rPr>
          <w:color w:val="FF0000"/>
        </w:rPr>
        <w:t xml:space="preserve">  </w:t>
      </w:r>
      <w:r w:rsidRPr="009823A5">
        <w:rPr>
          <w:color w:val="FF0000"/>
        </w:rPr>
        <w:t xml:space="preserve">  </w:t>
      </w:r>
    </w:p>
    <w:p w:rsidR="00764912" w:rsidRPr="00912692" w:rsidRDefault="00764912" w:rsidP="00764912">
      <w:pPr>
        <w:pStyle w:val="ListParagraph"/>
        <w:numPr>
          <w:ilvl w:val="1"/>
          <w:numId w:val="30"/>
        </w:numPr>
      </w:pPr>
      <w:r w:rsidRPr="00912692">
        <w:rPr>
          <w:b/>
        </w:rPr>
        <w:t>Misc Expenditure (Non Stock Related)</w:t>
      </w:r>
      <w:r w:rsidRPr="00912692">
        <w:t xml:space="preserve"> </w:t>
      </w:r>
      <w:r w:rsidR="00703F5D">
        <w:t>has a favourable variance of</w:t>
      </w:r>
      <w:r w:rsidRPr="00912692">
        <w:t xml:space="preserve"> </w:t>
      </w:r>
      <w:r w:rsidR="00703F5D">
        <w:t>(</w:t>
      </w:r>
      <w:r w:rsidRPr="00912692">
        <w:t>£0.</w:t>
      </w:r>
      <w:r w:rsidR="00041770">
        <w:t>110</w:t>
      </w:r>
      <w:r w:rsidR="00703F5D">
        <w:t>)</w:t>
      </w:r>
      <w:r w:rsidRPr="00912692">
        <w:t xml:space="preserve"> million, </w:t>
      </w:r>
      <w:r w:rsidR="00041770">
        <w:t>due to staff vacancies and reduced spend on utilities on Temporary Accommodation units</w:t>
      </w:r>
      <w:r w:rsidRPr="00912692">
        <w:t>.</w:t>
      </w:r>
    </w:p>
    <w:p w:rsidR="00041770" w:rsidRDefault="00764912" w:rsidP="00764912">
      <w:pPr>
        <w:pStyle w:val="ListParagraph"/>
        <w:numPr>
          <w:ilvl w:val="1"/>
          <w:numId w:val="30"/>
        </w:numPr>
      </w:pPr>
      <w:r w:rsidRPr="00041770">
        <w:rPr>
          <w:b/>
        </w:rPr>
        <w:t xml:space="preserve">Responsive and Cyclical Repairs </w:t>
      </w:r>
      <w:r w:rsidR="00041770">
        <w:t>has</w:t>
      </w:r>
      <w:r w:rsidR="002E66A3">
        <w:t xml:space="preserve"> an </w:t>
      </w:r>
      <w:r w:rsidRPr="00912692">
        <w:t>adverse variance of £0.</w:t>
      </w:r>
      <w:r w:rsidR="00041770">
        <w:t>335</w:t>
      </w:r>
      <w:r w:rsidRPr="00912692">
        <w:t xml:space="preserve"> million due to </w:t>
      </w:r>
      <w:r w:rsidR="00041770">
        <w:t>day to day responsive repairs and planned maintenance being overspent in year</w:t>
      </w:r>
      <w:r w:rsidR="00C45FC7">
        <w:t xml:space="preserve"> due to an increase in activity in this area.</w:t>
      </w:r>
      <w:r w:rsidRPr="00912692">
        <w:t xml:space="preserve"> </w:t>
      </w:r>
    </w:p>
    <w:p w:rsidR="00764912" w:rsidRPr="00912692" w:rsidRDefault="00041770" w:rsidP="00764912">
      <w:pPr>
        <w:pStyle w:val="ListParagraph"/>
        <w:numPr>
          <w:ilvl w:val="1"/>
          <w:numId w:val="30"/>
        </w:numPr>
      </w:pPr>
      <w:r>
        <w:rPr>
          <w:b/>
        </w:rPr>
        <w:t xml:space="preserve">Depreciation </w:t>
      </w:r>
      <w:r>
        <w:t>has an adv</w:t>
      </w:r>
      <w:r w:rsidR="00D563F6">
        <w:t>erse variance of £0.789 million.  This represents the total amount of depreciation for Council Houses and other assets in the HRA, which are offset with a credit showing in the Appropriations lines.</w:t>
      </w:r>
    </w:p>
    <w:p w:rsidR="00764912" w:rsidRPr="00ED1345" w:rsidRDefault="00ED1345" w:rsidP="00ED1345">
      <w:pPr>
        <w:pStyle w:val="ListParagraph"/>
        <w:numPr>
          <w:ilvl w:val="1"/>
          <w:numId w:val="30"/>
        </w:numPr>
        <w:rPr>
          <w:color w:val="FF0000"/>
        </w:rPr>
      </w:pPr>
      <w:r>
        <w:rPr>
          <w:b/>
        </w:rPr>
        <w:t xml:space="preserve">Appropriations </w:t>
      </w:r>
      <w:r>
        <w:t>has an overall adverse variance of £0.</w:t>
      </w:r>
      <w:r w:rsidR="00AF447C">
        <w:t>557</w:t>
      </w:r>
      <w:r>
        <w:t xml:space="preserve"> million, these accounts represent the entries relating to movements to and from reserves, capital financing, depreciation and impairments.</w:t>
      </w:r>
    </w:p>
    <w:p w:rsidR="00764912" w:rsidRPr="0094198E" w:rsidRDefault="00764912" w:rsidP="00764912">
      <w:pPr>
        <w:pStyle w:val="ListParagraph"/>
        <w:numPr>
          <w:ilvl w:val="0"/>
          <w:numId w:val="0"/>
        </w:numPr>
        <w:ind w:left="426"/>
        <w:rPr>
          <w:b/>
          <w:color w:val="auto"/>
        </w:rPr>
      </w:pPr>
      <w:r w:rsidRPr="0094198E">
        <w:rPr>
          <w:b/>
          <w:color w:val="auto"/>
        </w:rPr>
        <w:t>Capital</w:t>
      </w:r>
    </w:p>
    <w:p w:rsidR="00C12317" w:rsidRDefault="00764912" w:rsidP="00764912">
      <w:pPr>
        <w:pStyle w:val="ListParagraph"/>
        <w:rPr>
          <w:color w:val="auto"/>
        </w:rPr>
      </w:pPr>
      <w:r w:rsidRPr="0094198E">
        <w:rPr>
          <w:color w:val="auto"/>
        </w:rPr>
        <w:t>The outturn on the Capital Programme is £</w:t>
      </w:r>
      <w:r w:rsidR="0094198E" w:rsidRPr="0094198E">
        <w:rPr>
          <w:color w:val="auto"/>
        </w:rPr>
        <w:t>3</w:t>
      </w:r>
      <w:r w:rsidR="00AD6658">
        <w:rPr>
          <w:color w:val="auto"/>
        </w:rPr>
        <w:t>2.5</w:t>
      </w:r>
      <w:r w:rsidR="0064756A">
        <w:rPr>
          <w:color w:val="auto"/>
        </w:rPr>
        <w:t>26</w:t>
      </w:r>
      <w:r w:rsidR="00624C75">
        <w:rPr>
          <w:color w:val="auto"/>
        </w:rPr>
        <w:t xml:space="preserve"> </w:t>
      </w:r>
      <w:r w:rsidRPr="0094198E">
        <w:rPr>
          <w:color w:val="auto"/>
        </w:rPr>
        <w:t xml:space="preserve">million </w:t>
      </w:r>
      <w:r w:rsidR="00AD6658">
        <w:rPr>
          <w:color w:val="auto"/>
        </w:rPr>
        <w:t xml:space="preserve">with </w:t>
      </w:r>
      <w:r w:rsidRPr="0094198E">
        <w:rPr>
          <w:color w:val="auto"/>
        </w:rPr>
        <w:t>a favourable variance of (£</w:t>
      </w:r>
      <w:r w:rsidR="00AD6658">
        <w:rPr>
          <w:color w:val="auto"/>
        </w:rPr>
        <w:t>3.7</w:t>
      </w:r>
      <w:r w:rsidR="0064756A">
        <w:rPr>
          <w:color w:val="auto"/>
        </w:rPr>
        <w:t>50</w:t>
      </w:r>
      <w:r w:rsidR="000202F2">
        <w:rPr>
          <w:color w:val="auto"/>
        </w:rPr>
        <w:t>)</w:t>
      </w:r>
      <w:r w:rsidRPr="0094198E">
        <w:rPr>
          <w:color w:val="auto"/>
        </w:rPr>
        <w:t xml:space="preserve"> mil</w:t>
      </w:r>
      <w:r w:rsidR="004E288C">
        <w:rPr>
          <w:color w:val="auto"/>
        </w:rPr>
        <w:t xml:space="preserve">lion against the latest </w:t>
      </w:r>
      <w:r w:rsidR="00D563F6">
        <w:rPr>
          <w:color w:val="auto"/>
        </w:rPr>
        <w:t>outturn estimate forecast in February</w:t>
      </w:r>
      <w:r w:rsidR="007B4395">
        <w:rPr>
          <w:color w:val="auto"/>
        </w:rPr>
        <w:t xml:space="preserve"> as shown In Appendix B</w:t>
      </w:r>
      <w:r w:rsidR="004E288C">
        <w:rPr>
          <w:color w:val="auto"/>
        </w:rPr>
        <w:t>.</w:t>
      </w:r>
      <w:r w:rsidR="00AD6658">
        <w:rPr>
          <w:color w:val="auto"/>
        </w:rPr>
        <w:t xml:space="preserve">  </w:t>
      </w:r>
      <w:r w:rsidR="00BF4935">
        <w:rPr>
          <w:color w:val="auto"/>
        </w:rPr>
        <w:t>This represents a 78% spend of the original budget compared to 69% last year and 76% the previous year</w:t>
      </w:r>
    </w:p>
    <w:p w:rsidR="00C12317" w:rsidRDefault="00C12317" w:rsidP="00764912">
      <w:pPr>
        <w:pStyle w:val="ListParagraph"/>
        <w:rPr>
          <w:color w:val="auto"/>
        </w:rPr>
      </w:pPr>
      <w:r>
        <w:rPr>
          <w:color w:val="auto"/>
        </w:rPr>
        <w:t>The variance of (£3.750) million is made up of (</w:t>
      </w:r>
      <w:r w:rsidR="00627684">
        <w:rPr>
          <w:color w:val="auto"/>
        </w:rPr>
        <w:t>£</w:t>
      </w:r>
      <w:r>
        <w:rPr>
          <w:color w:val="auto"/>
        </w:rPr>
        <w:t xml:space="preserve">3.531) million of slippage into 17/18 and (£0.219) million of underspends.  </w:t>
      </w:r>
      <w:r w:rsidR="004D0FD0">
        <w:rPr>
          <w:color w:val="auto"/>
        </w:rPr>
        <w:t xml:space="preserve">Should members agree the recommendations then funding in respect of </w:t>
      </w:r>
      <w:proofErr w:type="gramStart"/>
      <w:r w:rsidR="004D0FD0">
        <w:rPr>
          <w:color w:val="auto"/>
        </w:rPr>
        <w:t xml:space="preserve">the </w:t>
      </w:r>
      <w:r>
        <w:rPr>
          <w:color w:val="auto"/>
        </w:rPr>
        <w:t>underspend</w:t>
      </w:r>
      <w:proofErr w:type="gramEnd"/>
      <w:r>
        <w:rPr>
          <w:color w:val="auto"/>
        </w:rPr>
        <w:t xml:space="preserve"> will </w:t>
      </w:r>
      <w:r w:rsidR="004D0FD0">
        <w:rPr>
          <w:color w:val="auto"/>
        </w:rPr>
        <w:t xml:space="preserve">be </w:t>
      </w:r>
      <w:r>
        <w:rPr>
          <w:color w:val="auto"/>
        </w:rPr>
        <w:t>return</w:t>
      </w:r>
      <w:r w:rsidR="004D0FD0">
        <w:rPr>
          <w:color w:val="auto"/>
        </w:rPr>
        <w:t>ed</w:t>
      </w:r>
      <w:r>
        <w:rPr>
          <w:color w:val="auto"/>
        </w:rPr>
        <w:t xml:space="preserve"> back to </w:t>
      </w:r>
      <w:r w:rsidR="00703A6A">
        <w:rPr>
          <w:color w:val="auto"/>
        </w:rPr>
        <w:t xml:space="preserve">the </w:t>
      </w:r>
      <w:r w:rsidR="00B732B4">
        <w:rPr>
          <w:color w:val="auto"/>
        </w:rPr>
        <w:t>Capital</w:t>
      </w:r>
      <w:r>
        <w:rPr>
          <w:color w:val="auto"/>
        </w:rPr>
        <w:t xml:space="preserve"> </w:t>
      </w:r>
      <w:r w:rsidR="00703A6A">
        <w:rPr>
          <w:color w:val="auto"/>
        </w:rPr>
        <w:t>Financing Reserve</w:t>
      </w:r>
      <w:r w:rsidR="00B732B4">
        <w:rPr>
          <w:color w:val="auto"/>
        </w:rPr>
        <w:t>.</w:t>
      </w:r>
    </w:p>
    <w:p w:rsidR="00764912" w:rsidRDefault="00AD6658" w:rsidP="00764912">
      <w:pPr>
        <w:pStyle w:val="ListParagraph"/>
        <w:rPr>
          <w:color w:val="auto"/>
        </w:rPr>
      </w:pPr>
      <w:r>
        <w:rPr>
          <w:color w:val="auto"/>
        </w:rPr>
        <w:t>The variance against the Original budget including carry forwards is an underspend of £9.3</w:t>
      </w:r>
      <w:r w:rsidR="0064756A">
        <w:rPr>
          <w:color w:val="auto"/>
        </w:rPr>
        <w:t>47</w:t>
      </w:r>
      <w:r>
        <w:rPr>
          <w:color w:val="auto"/>
        </w:rPr>
        <w:t xml:space="preserve"> million (22%).</w:t>
      </w:r>
      <w:r w:rsidR="001866BD">
        <w:rPr>
          <w:color w:val="auto"/>
        </w:rPr>
        <w:t xml:space="preserve">The </w:t>
      </w:r>
      <w:r w:rsidR="007C51F2">
        <w:rPr>
          <w:color w:val="auto"/>
        </w:rPr>
        <w:t xml:space="preserve">most </w:t>
      </w:r>
      <w:r w:rsidR="001866BD">
        <w:rPr>
          <w:color w:val="auto"/>
        </w:rPr>
        <w:t xml:space="preserve"> significant </w:t>
      </w:r>
      <w:r w:rsidR="007C51F2">
        <w:rPr>
          <w:color w:val="auto"/>
        </w:rPr>
        <w:t>variances are as follows</w:t>
      </w:r>
      <w:r w:rsidR="00764912" w:rsidRPr="0094198E">
        <w:rPr>
          <w:color w:val="auto"/>
        </w:rPr>
        <w:t>:</w:t>
      </w:r>
    </w:p>
    <w:p w:rsidR="00AD6658" w:rsidRPr="008D4C29" w:rsidRDefault="00AD6658" w:rsidP="00AD6658">
      <w:pPr>
        <w:pStyle w:val="ListParagraph"/>
        <w:numPr>
          <w:ilvl w:val="0"/>
          <w:numId w:val="36"/>
        </w:numPr>
      </w:pPr>
      <w:proofErr w:type="spellStart"/>
      <w:r w:rsidRPr="008D4C29">
        <w:rPr>
          <w:b/>
        </w:rPr>
        <w:t>Oxpens</w:t>
      </w:r>
      <w:proofErr w:type="spellEnd"/>
      <w:r w:rsidRPr="008D4C29">
        <w:rPr>
          <w:b/>
        </w:rPr>
        <w:t xml:space="preserve"> regeneration</w:t>
      </w:r>
      <w:r w:rsidRPr="008D4C29">
        <w:t xml:space="preserve"> - £1.4 million due to a</w:t>
      </w:r>
      <w:r w:rsidR="00D563F6">
        <w:t xml:space="preserve">n underspend </w:t>
      </w:r>
      <w:r w:rsidRPr="008D4C29">
        <w:t xml:space="preserve"> in </w:t>
      </w:r>
      <w:r w:rsidR="00D563F6">
        <w:t>the original budgeted amount for land purchase;</w:t>
      </w:r>
    </w:p>
    <w:p w:rsidR="00AD6658" w:rsidRPr="00B26878" w:rsidRDefault="00AD6658" w:rsidP="00AD6658">
      <w:pPr>
        <w:pStyle w:val="ListParagraph"/>
        <w:numPr>
          <w:ilvl w:val="0"/>
          <w:numId w:val="36"/>
        </w:numPr>
      </w:pPr>
      <w:r w:rsidRPr="00B26878">
        <w:rPr>
          <w:b/>
        </w:rPr>
        <w:t>Disabled facilities grants</w:t>
      </w:r>
      <w:r w:rsidRPr="00B26878">
        <w:t xml:space="preserve"> - £0.4 million – due to delays in </w:t>
      </w:r>
      <w:r w:rsidR="004E288C">
        <w:t>referrals being received from the County Council</w:t>
      </w:r>
      <w:r w:rsidR="007C51F2">
        <w:t>.</w:t>
      </w:r>
      <w:r w:rsidR="00C45ECB">
        <w:t xml:space="preserve"> </w:t>
      </w:r>
      <w:r w:rsidR="007C51F2">
        <w:t>Pl</w:t>
      </w:r>
      <w:r w:rsidR="004E288C">
        <w:t>ans for the year ahead include meeting with the County commissioner to ensure we can support their needs, increasing staffing within the team and updating our policy, these will ensure that we can utilise the budget allocation as best we can</w:t>
      </w:r>
      <w:r w:rsidR="00D563F6">
        <w:t>;</w:t>
      </w:r>
    </w:p>
    <w:p w:rsidR="00AD6658" w:rsidRDefault="00AD6658" w:rsidP="00AD6658">
      <w:pPr>
        <w:pStyle w:val="ListParagraph"/>
        <w:numPr>
          <w:ilvl w:val="0"/>
          <w:numId w:val="36"/>
        </w:numPr>
      </w:pPr>
      <w:r w:rsidRPr="00C822A7">
        <w:rPr>
          <w:b/>
        </w:rPr>
        <w:t>C</w:t>
      </w:r>
      <w:r w:rsidR="00D563F6">
        <w:rPr>
          <w:b/>
        </w:rPr>
        <w:t xml:space="preserve">ompulsory </w:t>
      </w:r>
      <w:r w:rsidRPr="00C822A7">
        <w:rPr>
          <w:b/>
        </w:rPr>
        <w:t>P</w:t>
      </w:r>
      <w:r w:rsidR="00D563F6">
        <w:rPr>
          <w:b/>
        </w:rPr>
        <w:t xml:space="preserve">urchase </w:t>
      </w:r>
      <w:r w:rsidRPr="00C822A7">
        <w:rPr>
          <w:b/>
        </w:rPr>
        <w:t>O</w:t>
      </w:r>
      <w:r w:rsidR="00D563F6">
        <w:rPr>
          <w:b/>
        </w:rPr>
        <w:t>rders</w:t>
      </w:r>
      <w:r>
        <w:t xml:space="preserve"> - £0.8 million– deletion of this scheme</w:t>
      </w:r>
      <w:r w:rsidR="00D563F6">
        <w:t>;</w:t>
      </w:r>
    </w:p>
    <w:p w:rsidR="00AD6658" w:rsidRDefault="00AD6658" w:rsidP="00AD6658">
      <w:pPr>
        <w:pStyle w:val="ListParagraph"/>
        <w:numPr>
          <w:ilvl w:val="0"/>
          <w:numId w:val="36"/>
        </w:numPr>
      </w:pPr>
      <w:r w:rsidRPr="00C822A7">
        <w:rPr>
          <w:b/>
        </w:rPr>
        <w:t>National Homelessness Fund</w:t>
      </w:r>
      <w:r>
        <w:t xml:space="preserve"> – £0.5 million </w:t>
      </w:r>
      <w:r w:rsidR="0036290C">
        <w:t>homelessness property purchase</w:t>
      </w:r>
      <w:r w:rsidR="00BF4935">
        <w:t>s</w:t>
      </w:r>
      <w:r w:rsidR="0036290C">
        <w:t xml:space="preserve"> are being made but the timetable is being </w:t>
      </w:r>
      <w:proofErr w:type="spellStart"/>
      <w:r w:rsidR="0036290C">
        <w:t>reprofiled</w:t>
      </w:r>
      <w:proofErr w:type="spellEnd"/>
      <w:r w:rsidR="0036290C">
        <w:t xml:space="preserve"> due to availability of suitable property to purchase</w:t>
      </w:r>
    </w:p>
    <w:p w:rsidR="00AD6658" w:rsidRDefault="00AD6658" w:rsidP="00AD6658">
      <w:pPr>
        <w:pStyle w:val="ListParagraph"/>
        <w:numPr>
          <w:ilvl w:val="0"/>
          <w:numId w:val="36"/>
        </w:numPr>
      </w:pPr>
      <w:r w:rsidRPr="00C822A7">
        <w:rPr>
          <w:b/>
        </w:rPr>
        <w:t>Go Ultra Low</w:t>
      </w:r>
      <w:r>
        <w:t xml:space="preserve"> - £0.8 million – rephrasing of project spend </w:t>
      </w:r>
      <w:r w:rsidR="00D563F6">
        <w:t>;</w:t>
      </w:r>
    </w:p>
    <w:p w:rsidR="00AD6658" w:rsidRDefault="00AD6658" w:rsidP="00AD6658">
      <w:pPr>
        <w:pStyle w:val="ListParagraph"/>
        <w:numPr>
          <w:ilvl w:val="0"/>
          <w:numId w:val="36"/>
        </w:numPr>
      </w:pPr>
      <w:proofErr w:type="spellStart"/>
      <w:r w:rsidRPr="00C822A7">
        <w:rPr>
          <w:b/>
        </w:rPr>
        <w:t>Seacourt</w:t>
      </w:r>
      <w:proofErr w:type="spellEnd"/>
      <w:r w:rsidRPr="00C822A7">
        <w:rPr>
          <w:b/>
        </w:rPr>
        <w:t xml:space="preserve"> Park and Ride</w:t>
      </w:r>
      <w:r>
        <w:t xml:space="preserve"> - £1.1 million – delays in project delivery due to </w:t>
      </w:r>
      <w:r w:rsidR="0036290C">
        <w:t>liaison with other agencies and the need appropriately to plan this project taking into account all relevant factors</w:t>
      </w:r>
      <w:r w:rsidR="00D563F6">
        <w:t>;</w:t>
      </w:r>
    </w:p>
    <w:p w:rsidR="00AD6658" w:rsidRDefault="00AD6658" w:rsidP="00AD6658">
      <w:pPr>
        <w:pStyle w:val="ListParagraph"/>
        <w:numPr>
          <w:ilvl w:val="0"/>
          <w:numId w:val="36"/>
        </w:numPr>
      </w:pPr>
      <w:r w:rsidRPr="00C822A7">
        <w:rPr>
          <w:b/>
        </w:rPr>
        <w:t>Tower Blocks</w:t>
      </w:r>
      <w:r w:rsidR="0064756A">
        <w:t xml:space="preserve"> - £1.3 million – to be slipped into future years partly due to the delayed commencement of works at the beginning of the contract and partly due to delays in receiving statutory approvals to carry out the work to the entrances and landscaping.  Despite these delays works are still expected to be completed within the original project timescale and budget envelope</w:t>
      </w:r>
      <w:r w:rsidR="00D563F6">
        <w:t>;</w:t>
      </w:r>
    </w:p>
    <w:p w:rsidR="00AD6658" w:rsidRDefault="00AD6658" w:rsidP="00AD6658">
      <w:pPr>
        <w:pStyle w:val="ListParagraph"/>
        <w:numPr>
          <w:ilvl w:val="0"/>
          <w:numId w:val="36"/>
        </w:numPr>
      </w:pPr>
      <w:r>
        <w:rPr>
          <w:b/>
        </w:rPr>
        <w:t xml:space="preserve">Quarry </w:t>
      </w:r>
      <w:proofErr w:type="spellStart"/>
      <w:r>
        <w:rPr>
          <w:b/>
        </w:rPr>
        <w:t>Pavillion</w:t>
      </w:r>
      <w:proofErr w:type="spellEnd"/>
      <w:r>
        <w:rPr>
          <w:b/>
        </w:rPr>
        <w:t xml:space="preserve"> </w:t>
      </w:r>
      <w:r w:rsidRPr="005A3C25">
        <w:t>-</w:t>
      </w:r>
      <w:r>
        <w:t xml:space="preserve"> £0.8 million delays in start on site</w:t>
      </w:r>
      <w:r w:rsidR="00D563F6">
        <w:t>;</w:t>
      </w:r>
    </w:p>
    <w:p w:rsidR="00AD6658" w:rsidRDefault="00AD6658" w:rsidP="00AD6658">
      <w:pPr>
        <w:pStyle w:val="ListParagraph"/>
        <w:numPr>
          <w:ilvl w:val="0"/>
          <w:numId w:val="36"/>
        </w:numPr>
      </w:pPr>
      <w:r w:rsidRPr="00AD6658">
        <w:rPr>
          <w:b/>
        </w:rPr>
        <w:t>Investment property acquisitions</w:t>
      </w:r>
      <w:r>
        <w:t xml:space="preserve"> </w:t>
      </w:r>
      <w:r w:rsidRPr="005A3C25">
        <w:t>-</w:t>
      </w:r>
      <w:r>
        <w:t xml:space="preserve"> £0.5 million</w:t>
      </w:r>
      <w:r w:rsidR="00D563F6">
        <w:t xml:space="preserve"> slippage due to delay in working up the scheme;</w:t>
      </w:r>
    </w:p>
    <w:p w:rsidR="00AD6658" w:rsidRDefault="00AD6658" w:rsidP="00AD6658">
      <w:pPr>
        <w:pStyle w:val="ListParagraph"/>
        <w:numPr>
          <w:ilvl w:val="0"/>
          <w:numId w:val="36"/>
        </w:numPr>
      </w:pPr>
      <w:r w:rsidRPr="00AD6658">
        <w:rPr>
          <w:b/>
        </w:rPr>
        <w:t>Other net changes in HRA spend</w:t>
      </w:r>
      <w:r>
        <w:t xml:space="preserve"> </w:t>
      </w:r>
      <w:r w:rsidRPr="005A3C25">
        <w:t>-</w:t>
      </w:r>
      <w:r>
        <w:t xml:space="preserve"> £1.6 million</w:t>
      </w:r>
      <w:r w:rsidR="00D563F6">
        <w:t xml:space="preserve"> slippage due to a delay in a range of projects;</w:t>
      </w:r>
    </w:p>
    <w:p w:rsidR="00AD6658" w:rsidRPr="00C822A7" w:rsidRDefault="00AD6658" w:rsidP="00AD6658">
      <w:pPr>
        <w:pStyle w:val="ListParagraph"/>
        <w:numPr>
          <w:ilvl w:val="0"/>
          <w:numId w:val="36"/>
        </w:numPr>
      </w:pPr>
      <w:r>
        <w:rPr>
          <w:b/>
        </w:rPr>
        <w:t>Loans to Housing Company</w:t>
      </w:r>
      <w:r w:rsidRPr="005A3C25">
        <w:t>-</w:t>
      </w:r>
      <w:r>
        <w:t xml:space="preserve"> </w:t>
      </w:r>
      <w:r w:rsidR="00D563F6">
        <w:t>+ £750k additional budget allocation approved by Full Council to provide funds for the Housing Company to purchase 5 properties from the HRA.</w:t>
      </w:r>
    </w:p>
    <w:p w:rsidR="00773D35" w:rsidRPr="00764912" w:rsidRDefault="00773D35" w:rsidP="00773D35">
      <w:pPr>
        <w:tabs>
          <w:tab w:val="left" w:pos="426"/>
        </w:tabs>
        <w:ind w:left="1080"/>
        <w:rPr>
          <w:color w:val="FF0000"/>
        </w:rPr>
      </w:pPr>
    </w:p>
    <w:p w:rsidR="008D3FE6" w:rsidRPr="00CC118B" w:rsidRDefault="008D3FE6" w:rsidP="008D3FE6">
      <w:pPr>
        <w:pStyle w:val="ListParagraph"/>
        <w:numPr>
          <w:ilvl w:val="0"/>
          <w:numId w:val="0"/>
        </w:numPr>
        <w:ind w:left="426" w:hanging="426"/>
        <w:rPr>
          <w:b/>
          <w:color w:val="auto"/>
        </w:rPr>
      </w:pPr>
      <w:r w:rsidRPr="000E0560">
        <w:rPr>
          <w:b/>
          <w:color w:val="auto"/>
        </w:rPr>
        <w:t>Performance Management</w:t>
      </w:r>
    </w:p>
    <w:p w:rsidR="00CC118B" w:rsidRPr="00627684" w:rsidRDefault="00905148" w:rsidP="00E835AB">
      <w:pPr>
        <w:pStyle w:val="ListParagraph"/>
        <w:rPr>
          <w:highlight w:val="yellow"/>
        </w:rPr>
      </w:pPr>
      <w:r w:rsidRPr="00CC118B">
        <w:t xml:space="preserve">There are </w:t>
      </w:r>
      <w:r w:rsidR="00A86331" w:rsidRPr="00CC118B">
        <w:t>fifteen</w:t>
      </w:r>
      <w:r w:rsidRPr="00CC118B">
        <w:t xml:space="preserve"> </w:t>
      </w:r>
      <w:r w:rsidR="00775283" w:rsidRPr="00CC118B">
        <w:t>corporate</w:t>
      </w:r>
      <w:r w:rsidR="008D3FE6" w:rsidRPr="00CC118B">
        <w:t xml:space="preserve"> </w:t>
      </w:r>
      <w:r w:rsidR="008D3FE6" w:rsidRPr="00CC118B">
        <w:rPr>
          <w:rFonts w:eastAsia="Calibri"/>
        </w:rPr>
        <w:t>performance</w:t>
      </w:r>
      <w:r w:rsidRPr="00CC118B">
        <w:rPr>
          <w:rFonts w:eastAsia="Calibri"/>
        </w:rPr>
        <w:t xml:space="preserve"> measures tha</w:t>
      </w:r>
      <w:r w:rsidR="007C282E" w:rsidRPr="00CC118B">
        <w:rPr>
          <w:rFonts w:eastAsia="Calibri"/>
        </w:rPr>
        <w:t xml:space="preserve">t </w:t>
      </w:r>
      <w:r w:rsidR="00B73D1D">
        <w:rPr>
          <w:rFonts w:eastAsia="Calibri"/>
        </w:rPr>
        <w:t>were</w:t>
      </w:r>
      <w:r w:rsidR="007C282E" w:rsidRPr="00CC118B">
        <w:rPr>
          <w:rFonts w:eastAsia="Calibri"/>
        </w:rPr>
        <w:t xml:space="preserve"> monitored during the year</w:t>
      </w:r>
      <w:r w:rsidR="00B73D1D">
        <w:rPr>
          <w:rFonts w:eastAsia="Calibri"/>
        </w:rPr>
        <w:t xml:space="preserve"> (Appendix G)</w:t>
      </w:r>
      <w:r w:rsidR="008D3FE6" w:rsidRPr="00CC118B">
        <w:rPr>
          <w:rFonts w:eastAsia="Calibri"/>
        </w:rPr>
        <w:t xml:space="preserve">. </w:t>
      </w:r>
      <w:r w:rsidR="008161BB">
        <w:rPr>
          <w:rFonts w:eastAsia="Calibri"/>
        </w:rPr>
        <w:t>Twelve</w:t>
      </w:r>
      <w:r w:rsidR="008161BB" w:rsidRPr="00CC118B">
        <w:rPr>
          <w:rFonts w:eastAsia="Calibri"/>
        </w:rPr>
        <w:t xml:space="preserve"> </w:t>
      </w:r>
      <w:r w:rsidR="00287FB6" w:rsidRPr="00CC118B">
        <w:rPr>
          <w:rFonts w:eastAsia="Calibri"/>
        </w:rPr>
        <w:t>(</w:t>
      </w:r>
      <w:r w:rsidR="008161BB">
        <w:rPr>
          <w:rFonts w:eastAsia="Calibri"/>
        </w:rPr>
        <w:t>80</w:t>
      </w:r>
      <w:r w:rsidR="00287FB6" w:rsidRPr="00CC118B">
        <w:rPr>
          <w:rFonts w:eastAsia="Calibri"/>
        </w:rPr>
        <w:t xml:space="preserve">%) </w:t>
      </w:r>
      <w:r w:rsidR="00B73D1D">
        <w:rPr>
          <w:rFonts w:eastAsia="Calibri"/>
        </w:rPr>
        <w:t>were</w:t>
      </w:r>
      <w:r w:rsidR="00A86331" w:rsidRPr="00CC118B">
        <w:rPr>
          <w:rFonts w:eastAsia="Calibri"/>
        </w:rPr>
        <w:t xml:space="preserve"> delivered as planned</w:t>
      </w:r>
      <w:r w:rsidR="00CC118B" w:rsidRPr="00CC118B">
        <w:rPr>
          <w:rFonts w:eastAsia="Calibri"/>
        </w:rPr>
        <w:t xml:space="preserve"> </w:t>
      </w:r>
      <w:r w:rsidR="003A35E7">
        <w:rPr>
          <w:rFonts w:eastAsia="Calibri"/>
        </w:rPr>
        <w:t xml:space="preserve">(Green) </w:t>
      </w:r>
      <w:r w:rsidR="00CC118B" w:rsidRPr="00CC118B">
        <w:rPr>
          <w:rFonts w:eastAsia="Calibri"/>
        </w:rPr>
        <w:t>and</w:t>
      </w:r>
      <w:r w:rsidR="00A86331" w:rsidRPr="00CC118B">
        <w:rPr>
          <w:rFonts w:eastAsia="Calibri"/>
        </w:rPr>
        <w:t xml:space="preserve"> </w:t>
      </w:r>
      <w:r w:rsidR="008161BB">
        <w:rPr>
          <w:rFonts w:eastAsia="Calibri"/>
        </w:rPr>
        <w:t>three</w:t>
      </w:r>
      <w:r w:rsidR="008161BB" w:rsidRPr="00CC118B">
        <w:rPr>
          <w:rFonts w:eastAsia="Calibri"/>
        </w:rPr>
        <w:t xml:space="preserve"> </w:t>
      </w:r>
      <w:r w:rsidR="00287FB6" w:rsidRPr="00CC118B">
        <w:rPr>
          <w:rFonts w:eastAsia="Calibri"/>
        </w:rPr>
        <w:t>(</w:t>
      </w:r>
      <w:r w:rsidR="000D16EF">
        <w:rPr>
          <w:rFonts w:eastAsia="Calibri"/>
        </w:rPr>
        <w:t>2</w:t>
      </w:r>
      <w:r w:rsidR="008161BB">
        <w:rPr>
          <w:rFonts w:eastAsia="Calibri"/>
        </w:rPr>
        <w:t>0</w:t>
      </w:r>
      <w:r w:rsidR="00287FB6" w:rsidRPr="00CC118B">
        <w:rPr>
          <w:rFonts w:eastAsia="Calibri"/>
        </w:rPr>
        <w:t xml:space="preserve">%) </w:t>
      </w:r>
      <w:r w:rsidR="00B73D1D">
        <w:rPr>
          <w:rFonts w:eastAsia="Calibri"/>
        </w:rPr>
        <w:t>fell marginally short of their target</w:t>
      </w:r>
      <w:r w:rsidR="00CC118B" w:rsidRPr="00CC118B">
        <w:rPr>
          <w:rFonts w:eastAsia="Calibri"/>
        </w:rPr>
        <w:t>.</w:t>
      </w:r>
      <w:r w:rsidR="000D16EF">
        <w:rPr>
          <w:rFonts w:eastAsia="Calibri"/>
        </w:rPr>
        <w:t xml:space="preserve"> </w:t>
      </w:r>
    </w:p>
    <w:p w:rsidR="000202F2" w:rsidRPr="003936BA" w:rsidRDefault="000202F2" w:rsidP="00E835AB">
      <w:pPr>
        <w:pStyle w:val="ListParagraph"/>
        <w:rPr>
          <w:color w:val="auto"/>
        </w:rPr>
      </w:pPr>
      <w:r>
        <w:rPr>
          <w:rFonts w:eastAsia="Calibri" w:cs="Arial"/>
          <w:color w:val="auto"/>
        </w:rPr>
        <w:t xml:space="preserve">The </w:t>
      </w:r>
      <w:r w:rsidR="008161BB">
        <w:rPr>
          <w:rFonts w:eastAsia="Calibri" w:cs="Arial"/>
          <w:color w:val="auto"/>
        </w:rPr>
        <w:t xml:space="preserve">three </w:t>
      </w:r>
      <w:r w:rsidR="003936BA">
        <w:rPr>
          <w:rFonts w:eastAsia="Calibri" w:cs="Arial"/>
          <w:color w:val="auto"/>
        </w:rPr>
        <w:t>indicators are detailed below:</w:t>
      </w:r>
    </w:p>
    <w:p w:rsidR="003936BA" w:rsidRPr="00333AD9" w:rsidRDefault="00875823" w:rsidP="00E835AB">
      <w:pPr>
        <w:pStyle w:val="ListParagraph"/>
        <w:numPr>
          <w:ilvl w:val="1"/>
          <w:numId w:val="2"/>
        </w:numPr>
        <w:rPr>
          <w:color w:val="auto"/>
        </w:rPr>
      </w:pPr>
      <w:r w:rsidRPr="00333AD9">
        <w:rPr>
          <w:rFonts w:eastAsia="Calibri" w:cs="Arial"/>
          <w:color w:val="auto"/>
        </w:rPr>
        <w:t>Amount of employment</w:t>
      </w:r>
      <w:r w:rsidR="00333AD9" w:rsidRPr="00333AD9">
        <w:rPr>
          <w:rFonts w:eastAsia="Calibri" w:cs="Arial"/>
          <w:color w:val="auto"/>
        </w:rPr>
        <w:t xml:space="preserve"> floor space permitted for development</w:t>
      </w:r>
      <w:r w:rsidR="003936BA" w:rsidRPr="00333AD9">
        <w:rPr>
          <w:rFonts w:eastAsia="Calibri" w:cs="Arial"/>
          <w:color w:val="auto"/>
        </w:rPr>
        <w:t xml:space="preserve"> –</w:t>
      </w:r>
      <w:r w:rsidR="00333AD9" w:rsidRPr="00333AD9">
        <w:rPr>
          <w:rFonts w:eastAsia="Calibri" w:cs="Arial"/>
          <w:color w:val="auto"/>
        </w:rPr>
        <w:t>target of 15,000 and a year end result of 14,659</w:t>
      </w:r>
      <w:r w:rsidR="003936BA" w:rsidRPr="00333AD9">
        <w:rPr>
          <w:rFonts w:eastAsia="Calibri" w:cs="Arial"/>
          <w:color w:val="auto"/>
        </w:rPr>
        <w:t>;</w:t>
      </w:r>
    </w:p>
    <w:p w:rsidR="003936BA" w:rsidRDefault="00333AD9" w:rsidP="00E835AB">
      <w:pPr>
        <w:pStyle w:val="ListParagraph"/>
        <w:numPr>
          <w:ilvl w:val="1"/>
          <w:numId w:val="2"/>
        </w:numPr>
        <w:rPr>
          <w:color w:val="auto"/>
        </w:rPr>
      </w:pPr>
      <w:r w:rsidRPr="00333AD9">
        <w:rPr>
          <w:color w:val="auto"/>
        </w:rPr>
        <w:t>Number of people using leisure centres – target of 1,400,000 and a year end result of 1,370,105</w:t>
      </w:r>
    </w:p>
    <w:p w:rsidR="00333AD9" w:rsidRDefault="00333AD9" w:rsidP="00E835AB">
      <w:pPr>
        <w:pStyle w:val="ListParagraph"/>
        <w:numPr>
          <w:ilvl w:val="1"/>
          <w:numId w:val="2"/>
        </w:numPr>
        <w:rPr>
          <w:color w:val="auto"/>
        </w:rPr>
      </w:pPr>
      <w:r>
        <w:rPr>
          <w:color w:val="auto"/>
        </w:rPr>
        <w:t xml:space="preserve">Delivery of the Council’s costs savings and income targets – target of £1,758,000 with a year end result of £1,749,000.  </w:t>
      </w:r>
    </w:p>
    <w:p w:rsidR="008D3FE6" w:rsidRPr="002E1770" w:rsidRDefault="00292C57" w:rsidP="002E1770">
      <w:pPr>
        <w:rPr>
          <w:b/>
          <w:color w:val="auto"/>
        </w:rPr>
      </w:pPr>
      <w:r w:rsidRPr="002E1770">
        <w:rPr>
          <w:b/>
          <w:color w:val="auto"/>
        </w:rPr>
        <w:t xml:space="preserve">Corporate </w:t>
      </w:r>
      <w:r w:rsidR="008D3FE6" w:rsidRPr="002E1770">
        <w:rPr>
          <w:b/>
          <w:color w:val="auto"/>
        </w:rPr>
        <w:t>Risk</w:t>
      </w:r>
    </w:p>
    <w:p w:rsidR="008D3FE6" w:rsidRDefault="00502033" w:rsidP="00E835AB">
      <w:pPr>
        <w:pStyle w:val="ListParagraph"/>
        <w:rPr>
          <w:color w:val="auto"/>
        </w:rPr>
      </w:pPr>
      <w:r>
        <w:rPr>
          <w:color w:val="auto"/>
        </w:rPr>
        <w:t>Corporate risks are reported in Appendix F</w:t>
      </w:r>
    </w:p>
    <w:p w:rsidR="00502033" w:rsidRPr="00676725" w:rsidRDefault="00502033" w:rsidP="00E835AB">
      <w:pPr>
        <w:pStyle w:val="ListParagraph"/>
        <w:rPr>
          <w:color w:val="auto"/>
        </w:rPr>
      </w:pPr>
      <w:r>
        <w:rPr>
          <w:color w:val="auto"/>
        </w:rPr>
        <w:t>There are five Amber risks and one Red risk with the remaining being shown as green.  The red risk is detailed further below:</w:t>
      </w:r>
    </w:p>
    <w:p w:rsidR="00431551" w:rsidRDefault="00502033" w:rsidP="00E835AB">
      <w:pPr>
        <w:pStyle w:val="ListParagraph"/>
        <w:numPr>
          <w:ilvl w:val="1"/>
          <w:numId w:val="2"/>
        </w:numPr>
        <w:rPr>
          <w:color w:val="auto"/>
        </w:rPr>
      </w:pPr>
      <w:r w:rsidRPr="00431551">
        <w:rPr>
          <w:color w:val="auto"/>
        </w:rPr>
        <w:t>Innovative arrangements and models</w:t>
      </w:r>
      <w:r w:rsidR="00A86331" w:rsidRPr="00431551">
        <w:rPr>
          <w:color w:val="auto"/>
        </w:rPr>
        <w:t xml:space="preserve"> </w:t>
      </w:r>
      <w:r w:rsidRPr="00431551">
        <w:rPr>
          <w:color w:val="auto"/>
        </w:rPr>
        <w:t>–</w:t>
      </w:r>
      <w:r w:rsidR="00A86331" w:rsidRPr="00431551">
        <w:rPr>
          <w:color w:val="auto"/>
        </w:rPr>
        <w:t xml:space="preserve"> </w:t>
      </w:r>
      <w:r w:rsidRPr="00431551">
        <w:rPr>
          <w:color w:val="auto"/>
        </w:rPr>
        <w:t xml:space="preserve">The Council is implementing new models of service delivery eg: </w:t>
      </w:r>
      <w:r w:rsidR="00883BD0">
        <w:rPr>
          <w:color w:val="auto"/>
        </w:rPr>
        <w:t xml:space="preserve">Trading </w:t>
      </w:r>
      <w:proofErr w:type="gramStart"/>
      <w:r w:rsidR="00206053">
        <w:rPr>
          <w:color w:val="auto"/>
        </w:rPr>
        <w:t>company</w:t>
      </w:r>
      <w:proofErr w:type="gramEnd"/>
      <w:r w:rsidR="00206053">
        <w:rPr>
          <w:color w:val="auto"/>
        </w:rPr>
        <w:t xml:space="preserve"> and </w:t>
      </w:r>
      <w:r w:rsidRPr="00431551">
        <w:rPr>
          <w:color w:val="auto"/>
        </w:rPr>
        <w:t>joint venture companies.  There i</w:t>
      </w:r>
      <w:r w:rsidR="00916A6C" w:rsidRPr="00431551">
        <w:rPr>
          <w:color w:val="auto"/>
        </w:rPr>
        <w:t>s a risk that the implications of</w:t>
      </w:r>
      <w:r w:rsidRPr="00431551">
        <w:rPr>
          <w:color w:val="auto"/>
        </w:rPr>
        <w:t xml:space="preserve"> these are not understood and communicated</w:t>
      </w:r>
      <w:r w:rsidR="00883BD0">
        <w:rPr>
          <w:color w:val="auto"/>
        </w:rPr>
        <w:t xml:space="preserve"> </w:t>
      </w:r>
      <w:r w:rsidR="00DD03F8">
        <w:rPr>
          <w:color w:val="auto"/>
        </w:rPr>
        <w:t>effectively</w:t>
      </w:r>
      <w:r w:rsidRPr="00431551">
        <w:rPr>
          <w:color w:val="auto"/>
        </w:rPr>
        <w:t xml:space="preserve"> </w:t>
      </w:r>
      <w:r w:rsidR="00206053">
        <w:rPr>
          <w:color w:val="auto"/>
        </w:rPr>
        <w:t xml:space="preserve">impacting adversely on </w:t>
      </w:r>
      <w:r w:rsidRPr="00431551">
        <w:rPr>
          <w:color w:val="auto"/>
        </w:rPr>
        <w:t>roles and governance arrangements.  Agreements between the Companies and the Council regarding</w:t>
      </w:r>
      <w:r w:rsidR="000E0560" w:rsidRPr="00431551">
        <w:rPr>
          <w:color w:val="auto"/>
        </w:rPr>
        <w:t xml:space="preserve"> services to be provided and fees for these services are to be agreed.  </w:t>
      </w:r>
    </w:p>
    <w:p w:rsidR="009559D8" w:rsidRPr="00431551" w:rsidRDefault="009559D8" w:rsidP="00431551">
      <w:pPr>
        <w:pStyle w:val="ListParagraph"/>
        <w:numPr>
          <w:ilvl w:val="0"/>
          <w:numId w:val="0"/>
        </w:numPr>
        <w:rPr>
          <w:b/>
          <w:color w:val="auto"/>
        </w:rPr>
      </w:pPr>
      <w:r w:rsidRPr="00431551">
        <w:rPr>
          <w:b/>
          <w:color w:val="auto"/>
        </w:rPr>
        <w:t>Financial implications</w:t>
      </w:r>
    </w:p>
    <w:p w:rsidR="004F260A" w:rsidRPr="00A52A1D" w:rsidRDefault="004F260A" w:rsidP="00E835AB">
      <w:pPr>
        <w:pStyle w:val="ListParagraph"/>
        <w:ind w:left="644" w:hanging="720"/>
        <w:rPr>
          <w:color w:val="auto"/>
        </w:rPr>
      </w:pPr>
      <w:r w:rsidRPr="00A52A1D">
        <w:rPr>
          <w:color w:val="auto"/>
        </w:rPr>
        <w:t>All financial implications are covered in the body of this report and the Appendices.</w:t>
      </w:r>
    </w:p>
    <w:p w:rsidR="0040736F" w:rsidRPr="00A52A1D" w:rsidRDefault="00DA614B" w:rsidP="004A6D2F">
      <w:pPr>
        <w:pStyle w:val="Heading1"/>
        <w:rPr>
          <w:color w:val="auto"/>
        </w:rPr>
      </w:pPr>
      <w:r w:rsidRPr="00A52A1D">
        <w:rPr>
          <w:color w:val="auto"/>
        </w:rPr>
        <w:t>Legal issues</w:t>
      </w:r>
    </w:p>
    <w:p w:rsidR="00E87F7A" w:rsidRPr="00A52A1D" w:rsidRDefault="00256350" w:rsidP="00E835AB">
      <w:pPr>
        <w:pStyle w:val="ListParagraph"/>
        <w:rPr>
          <w:color w:val="auto"/>
        </w:rPr>
      </w:pPr>
      <w:r w:rsidRPr="00A52A1D">
        <w:rPr>
          <w:color w:val="auto"/>
        </w:rPr>
        <w:t>There are no legal implications directly relevant to this report</w:t>
      </w:r>
      <w:r w:rsidR="00E87F7A" w:rsidRPr="00A52A1D">
        <w:rPr>
          <w:color w:val="auto"/>
        </w:rPr>
        <w:t>.</w:t>
      </w:r>
    </w:p>
    <w:p w:rsidR="002329CF" w:rsidRPr="00A52A1D" w:rsidRDefault="002329CF" w:rsidP="004A6D2F">
      <w:pPr>
        <w:pStyle w:val="Heading1"/>
        <w:rPr>
          <w:color w:val="auto"/>
        </w:rPr>
      </w:pPr>
      <w:r w:rsidRPr="00A52A1D">
        <w:rPr>
          <w:color w:val="auto"/>
        </w:rPr>
        <w:t>Level of risk</w:t>
      </w:r>
    </w:p>
    <w:p w:rsidR="00BC69A4" w:rsidRPr="00A52A1D" w:rsidRDefault="00256350" w:rsidP="00E835AB">
      <w:pPr>
        <w:pStyle w:val="ListParagraph"/>
        <w:rPr>
          <w:color w:val="auto"/>
        </w:rPr>
      </w:pPr>
      <w:r w:rsidRPr="00A52A1D">
        <w:rPr>
          <w:color w:val="auto"/>
        </w:rPr>
        <w:t>All risk implications are covered in the body of this report and the Appendices.</w:t>
      </w:r>
    </w:p>
    <w:p w:rsidR="002329CF" w:rsidRPr="00A52A1D" w:rsidRDefault="002329CF" w:rsidP="0050321C">
      <w:pPr>
        <w:pStyle w:val="Heading1"/>
        <w:rPr>
          <w:color w:val="auto"/>
        </w:rPr>
      </w:pPr>
      <w:r w:rsidRPr="00A52A1D">
        <w:rPr>
          <w:color w:val="auto"/>
        </w:rPr>
        <w:t xml:space="preserve">Equalities impact </w:t>
      </w:r>
    </w:p>
    <w:p w:rsidR="00E206D6" w:rsidRPr="00A52A1D" w:rsidRDefault="00256350" w:rsidP="00E835AB">
      <w:pPr>
        <w:pStyle w:val="ListParagraph"/>
        <w:rPr>
          <w:color w:val="auto"/>
        </w:rPr>
      </w:pPr>
      <w:r w:rsidRPr="00A52A1D">
        <w:rPr>
          <w:color w:val="auto"/>
        </w:rPr>
        <w:t>There are no equalities impacts arising directly from this report.</w:t>
      </w:r>
    </w:p>
    <w:p w:rsidR="002329CF" w:rsidRPr="00A51D06"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A8633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86331" w:rsidRDefault="00E87F7A" w:rsidP="00A46E98">
            <w:pPr>
              <w:rPr>
                <w:b/>
                <w:color w:val="auto"/>
              </w:rPr>
            </w:pPr>
            <w:r w:rsidRPr="00A86331">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A86331" w:rsidRDefault="00256350" w:rsidP="00A46E98">
            <w:pPr>
              <w:rPr>
                <w:color w:val="auto"/>
              </w:rPr>
            </w:pPr>
            <w:r w:rsidRPr="00A86331">
              <w:rPr>
                <w:color w:val="auto"/>
              </w:rPr>
              <w:t xml:space="preserve">Nigel Kennedy </w:t>
            </w:r>
          </w:p>
          <w:p w:rsidR="00256350" w:rsidRPr="00A86331" w:rsidRDefault="00256350" w:rsidP="00256350">
            <w:pPr>
              <w:rPr>
                <w:color w:val="auto"/>
              </w:rPr>
            </w:pPr>
            <w:r w:rsidRPr="00A86331">
              <w:rPr>
                <w:color w:val="auto"/>
              </w:rPr>
              <w:t>Helen Bishop</w:t>
            </w:r>
          </w:p>
        </w:tc>
      </w:tr>
      <w:tr w:rsidR="00DF093E" w:rsidRPr="00A8633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A86331" w:rsidRDefault="00256350" w:rsidP="00A46E98">
            <w:pPr>
              <w:rPr>
                <w:color w:val="auto"/>
              </w:rPr>
            </w:pPr>
            <w:r w:rsidRPr="00A86331">
              <w:rPr>
                <w:color w:val="auto"/>
              </w:rPr>
              <w:t>Head of Financial Services</w:t>
            </w:r>
          </w:p>
          <w:p w:rsidR="00256350" w:rsidRPr="00A86331" w:rsidRDefault="00256350" w:rsidP="00A46E98">
            <w:pPr>
              <w:rPr>
                <w:color w:val="auto"/>
              </w:rPr>
            </w:pPr>
            <w:r w:rsidRPr="00A86331">
              <w:rPr>
                <w:color w:val="auto"/>
              </w:rPr>
              <w:t>Head of Business Improvement</w:t>
            </w:r>
          </w:p>
        </w:tc>
      </w:tr>
      <w:tr w:rsidR="00DF093E" w:rsidRPr="00A86331" w:rsidTr="00A46E98">
        <w:trPr>
          <w:cantSplit/>
          <w:trHeight w:val="396"/>
        </w:trPr>
        <w:tc>
          <w:tcPr>
            <w:tcW w:w="3969" w:type="dxa"/>
            <w:tcBorders>
              <w:top w:val="nil"/>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Service area or department</w:t>
            </w:r>
          </w:p>
        </w:tc>
        <w:tc>
          <w:tcPr>
            <w:tcW w:w="4962" w:type="dxa"/>
            <w:tcBorders>
              <w:top w:val="nil"/>
              <w:left w:val="nil"/>
              <w:bottom w:val="nil"/>
              <w:right w:val="single" w:sz="8" w:space="0" w:color="000000"/>
            </w:tcBorders>
            <w:shd w:val="clear" w:color="auto" w:fill="auto"/>
          </w:tcPr>
          <w:p w:rsidR="00E87F7A" w:rsidRPr="00A86331" w:rsidRDefault="00256350" w:rsidP="00A46E98">
            <w:pPr>
              <w:rPr>
                <w:color w:val="auto"/>
              </w:rPr>
            </w:pPr>
            <w:r w:rsidRPr="00A86331">
              <w:rPr>
                <w:color w:val="auto"/>
              </w:rPr>
              <w:t>Financial Services/Business Improvement</w:t>
            </w:r>
          </w:p>
        </w:tc>
      </w:tr>
      <w:tr w:rsidR="00DF093E" w:rsidRPr="00A86331" w:rsidTr="00A46E98">
        <w:trPr>
          <w:cantSplit/>
          <w:trHeight w:val="396"/>
        </w:trPr>
        <w:tc>
          <w:tcPr>
            <w:tcW w:w="3969" w:type="dxa"/>
            <w:tcBorders>
              <w:top w:val="nil"/>
              <w:left w:val="single" w:sz="8" w:space="0" w:color="000000"/>
              <w:bottom w:val="nil"/>
              <w:right w:val="nil"/>
            </w:tcBorders>
            <w:shd w:val="clear" w:color="auto" w:fill="auto"/>
          </w:tcPr>
          <w:p w:rsidR="00E87F7A" w:rsidRPr="00A86331" w:rsidRDefault="00E87F7A" w:rsidP="00A46E98">
            <w:pPr>
              <w:rPr>
                <w:color w:val="auto"/>
              </w:rPr>
            </w:pPr>
            <w:r w:rsidRPr="00A86331">
              <w:rPr>
                <w:color w:val="auto"/>
              </w:rPr>
              <w:t xml:space="preserve">Telephone </w:t>
            </w:r>
          </w:p>
        </w:tc>
        <w:tc>
          <w:tcPr>
            <w:tcW w:w="4962" w:type="dxa"/>
            <w:tcBorders>
              <w:top w:val="nil"/>
              <w:left w:val="nil"/>
              <w:bottom w:val="nil"/>
              <w:right w:val="single" w:sz="8" w:space="0" w:color="000000"/>
            </w:tcBorders>
            <w:shd w:val="clear" w:color="auto" w:fill="auto"/>
          </w:tcPr>
          <w:p w:rsidR="00E87F7A" w:rsidRPr="00A86331" w:rsidRDefault="00256350" w:rsidP="00256350">
            <w:pPr>
              <w:rPr>
                <w:color w:val="auto"/>
              </w:rPr>
            </w:pPr>
            <w:r w:rsidRPr="00A86331">
              <w:rPr>
                <w:color w:val="auto"/>
              </w:rPr>
              <w:t>01865 252708</w:t>
            </w:r>
            <w:r w:rsidR="00E87F7A" w:rsidRPr="00A86331">
              <w:rPr>
                <w:color w:val="auto"/>
              </w:rPr>
              <w:t xml:space="preserve">  </w:t>
            </w:r>
          </w:p>
        </w:tc>
      </w:tr>
      <w:tr w:rsidR="005570B5" w:rsidRPr="00A8633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86331" w:rsidRDefault="00E87F7A" w:rsidP="00A46E98">
            <w:pPr>
              <w:rPr>
                <w:color w:val="auto"/>
              </w:rPr>
            </w:pPr>
            <w:r w:rsidRPr="00A86331">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A86331" w:rsidRDefault="00256350" w:rsidP="00A46E98">
            <w:pPr>
              <w:rPr>
                <w:rStyle w:val="Hyperlink"/>
                <w:color w:val="auto"/>
              </w:rPr>
            </w:pPr>
            <w:r w:rsidRPr="00A86331">
              <w:rPr>
                <w:rStyle w:val="Hyperlink"/>
                <w:color w:val="auto"/>
              </w:rPr>
              <w:t>nkennedy@oxford.gov.uk/hbishop@oxford.gov.uk</w:t>
            </w:r>
          </w:p>
        </w:tc>
      </w:tr>
    </w:tbl>
    <w:p w:rsidR="00433B96" w:rsidRPr="00A86331"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A8633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A86331" w:rsidRDefault="00182B81" w:rsidP="00F41AC1">
            <w:pPr>
              <w:rPr>
                <w:color w:val="auto"/>
              </w:rPr>
            </w:pPr>
            <w:r w:rsidRPr="00A86331">
              <w:rPr>
                <w:rStyle w:val="Firstpagetablebold"/>
                <w:color w:val="auto"/>
              </w:rPr>
              <w:t xml:space="preserve">Background Papers: </w:t>
            </w:r>
            <w:r w:rsidRPr="00A86331">
              <w:rPr>
                <w:rStyle w:val="Firstpagetablebold"/>
                <w:b w:val="0"/>
                <w:color w:val="auto"/>
              </w:rPr>
              <w:t>None</w:t>
            </w:r>
          </w:p>
        </w:tc>
      </w:tr>
      <w:tr w:rsidR="005570B5" w:rsidRPr="00A86331" w:rsidTr="00A46E98">
        <w:tc>
          <w:tcPr>
            <w:tcW w:w="567" w:type="dxa"/>
            <w:tcBorders>
              <w:top w:val="nil"/>
              <w:left w:val="single" w:sz="8" w:space="0" w:color="000000"/>
              <w:bottom w:val="single" w:sz="8" w:space="0" w:color="000000"/>
              <w:right w:val="nil"/>
            </w:tcBorders>
            <w:shd w:val="clear" w:color="auto" w:fill="auto"/>
          </w:tcPr>
          <w:p w:rsidR="0093067A" w:rsidRPr="00A86331"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A86331" w:rsidRDefault="0093067A" w:rsidP="00F41AC1">
            <w:pPr>
              <w:rPr>
                <w:color w:val="auto"/>
              </w:rPr>
            </w:pPr>
          </w:p>
        </w:tc>
      </w:tr>
    </w:tbl>
    <w:p w:rsidR="00CE4C87" w:rsidRPr="00A86331" w:rsidRDefault="00CE4C87" w:rsidP="0093067A">
      <w:pPr>
        <w:rPr>
          <w:color w:val="auto"/>
        </w:rPr>
      </w:pPr>
    </w:p>
    <w:p w:rsidR="0054712D" w:rsidRPr="00A86331" w:rsidRDefault="0054712D" w:rsidP="00C85B4E">
      <w:pPr>
        <w:rPr>
          <w:b/>
          <w:color w:val="auto"/>
        </w:rPr>
      </w:pPr>
      <w:r w:rsidRPr="00A86331">
        <w:rPr>
          <w:b/>
          <w:color w:val="auto"/>
        </w:rPr>
        <w:t xml:space="preserve">Please note in the table </w:t>
      </w:r>
      <w:r w:rsidR="00C85B4E" w:rsidRPr="00A86331">
        <w:rPr>
          <w:b/>
          <w:color w:val="auto"/>
        </w:rPr>
        <w:t xml:space="preserve">below </w:t>
      </w:r>
      <w:r w:rsidRPr="00A86331">
        <w:rPr>
          <w:b/>
          <w:color w:val="auto"/>
        </w:rPr>
        <w:t xml:space="preserve">the version number of your report that was </w:t>
      </w:r>
      <w:r w:rsidR="00C85B4E" w:rsidRPr="00A86331">
        <w:rPr>
          <w:b/>
          <w:color w:val="auto"/>
        </w:rPr>
        <w:t xml:space="preserve">finally </w:t>
      </w:r>
      <w:r w:rsidRPr="00A86331">
        <w:rPr>
          <w:b/>
          <w:color w:val="auto"/>
        </w:rPr>
        <w:t>cleared</w:t>
      </w:r>
      <w:r w:rsidR="00C85B4E" w:rsidRPr="00A86331">
        <w:rPr>
          <w:b/>
          <w:color w:val="auto"/>
        </w:rPr>
        <w:t xml:space="preserve"> </w:t>
      </w:r>
      <w:r w:rsidRPr="00A86331">
        <w:rPr>
          <w:b/>
          <w:color w:val="auto"/>
        </w:rPr>
        <w:t>at each stage</w:t>
      </w:r>
    </w:p>
    <w:p w:rsidR="0054712D" w:rsidRPr="00A86331" w:rsidRDefault="0054712D" w:rsidP="0093067A">
      <w:pPr>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4456DD" w:rsidRPr="00A86331" w:rsidTr="0080749A">
        <w:trPr>
          <w:trHeight w:val="409"/>
        </w:trPr>
        <w:tc>
          <w:tcPr>
            <w:tcW w:w="5342" w:type="dxa"/>
            <w:shd w:val="clear" w:color="auto" w:fill="auto"/>
          </w:tcPr>
          <w:p w:rsidR="004456DD" w:rsidRPr="00A86331" w:rsidRDefault="004456DD" w:rsidP="00A21B12">
            <w:pPr>
              <w:rPr>
                <w:b/>
                <w:color w:val="auto"/>
              </w:rPr>
            </w:pPr>
            <w:r w:rsidRPr="00A86331">
              <w:rPr>
                <w:b/>
                <w:color w:val="auto"/>
              </w:rPr>
              <w:t>Report Stage</w:t>
            </w:r>
          </w:p>
        </w:tc>
        <w:tc>
          <w:tcPr>
            <w:tcW w:w="2551" w:type="dxa"/>
            <w:shd w:val="clear" w:color="auto" w:fill="auto"/>
          </w:tcPr>
          <w:p w:rsidR="004456DD" w:rsidRPr="00A86331" w:rsidRDefault="004456DD" w:rsidP="00A21B12">
            <w:pPr>
              <w:rPr>
                <w:b/>
                <w:color w:val="auto"/>
              </w:rPr>
            </w:pPr>
            <w:r w:rsidRPr="00A86331">
              <w:rPr>
                <w:b/>
                <w:color w:val="auto"/>
              </w:rPr>
              <w:t>Version</w:t>
            </w:r>
            <w:r w:rsidR="0080749A" w:rsidRPr="00A86331">
              <w:rPr>
                <w:b/>
                <w:color w:val="auto"/>
              </w:rPr>
              <w:t xml:space="preserve"> </w:t>
            </w:r>
            <w:r w:rsidRPr="00A86331">
              <w:rPr>
                <w:b/>
                <w:color w:val="auto"/>
              </w:rPr>
              <w:t>Number</w:t>
            </w:r>
          </w:p>
        </w:tc>
      </w:tr>
      <w:tr w:rsidR="004456DD" w:rsidRPr="00A86331" w:rsidTr="0080749A">
        <w:tc>
          <w:tcPr>
            <w:tcW w:w="5342" w:type="dxa"/>
            <w:shd w:val="clear" w:color="auto" w:fill="auto"/>
          </w:tcPr>
          <w:p w:rsidR="00C85B4E" w:rsidRPr="00A86331" w:rsidRDefault="004456DD" w:rsidP="00A21B12">
            <w:pPr>
              <w:rPr>
                <w:color w:val="auto"/>
              </w:rPr>
            </w:pPr>
            <w:r w:rsidRPr="00A86331">
              <w:rPr>
                <w:b/>
                <w:color w:val="auto"/>
              </w:rPr>
              <w:t>First Draft:</w:t>
            </w:r>
            <w:r w:rsidRPr="00A86331">
              <w:rPr>
                <w:color w:val="auto"/>
              </w:rPr>
              <w:t xml:space="preserve"> </w:t>
            </w:r>
          </w:p>
          <w:p w:rsidR="004456DD" w:rsidRPr="00A86331" w:rsidRDefault="004456DD" w:rsidP="00A21B12">
            <w:pPr>
              <w:rPr>
                <w:color w:val="auto"/>
              </w:rPr>
            </w:pPr>
            <w:r w:rsidRPr="00A86331">
              <w:rPr>
                <w:i/>
                <w:color w:val="auto"/>
              </w:rPr>
              <w:t>Commissioned and cleared by Director</w:t>
            </w:r>
          </w:p>
        </w:tc>
        <w:tc>
          <w:tcPr>
            <w:tcW w:w="2551" w:type="dxa"/>
            <w:shd w:val="clear" w:color="auto" w:fill="auto"/>
          </w:tcPr>
          <w:p w:rsidR="004456DD" w:rsidRPr="00A86331" w:rsidRDefault="00256350" w:rsidP="00A21B12">
            <w:pPr>
              <w:rPr>
                <w:color w:val="auto"/>
              </w:rPr>
            </w:pPr>
            <w:r w:rsidRPr="00A86331">
              <w:rPr>
                <w:color w:val="auto"/>
              </w:rPr>
              <w:t>V</w:t>
            </w:r>
            <w:r w:rsidR="008F094F" w:rsidRPr="00A86331">
              <w:rPr>
                <w:color w:val="auto"/>
              </w:rPr>
              <w:t>1</w:t>
            </w:r>
          </w:p>
        </w:tc>
      </w:tr>
      <w:tr w:rsidR="004456DD" w:rsidRPr="00A86331" w:rsidTr="0080749A">
        <w:tc>
          <w:tcPr>
            <w:tcW w:w="5342" w:type="dxa"/>
            <w:shd w:val="clear" w:color="auto" w:fill="auto"/>
          </w:tcPr>
          <w:p w:rsidR="004456DD" w:rsidRPr="00A86331" w:rsidRDefault="004456DD" w:rsidP="00A21B12">
            <w:pPr>
              <w:rPr>
                <w:b/>
                <w:color w:val="auto"/>
              </w:rPr>
            </w:pPr>
            <w:r w:rsidRPr="00A86331">
              <w:rPr>
                <w:b/>
                <w:color w:val="auto"/>
              </w:rPr>
              <w:t>Second Draft:</w:t>
            </w:r>
          </w:p>
          <w:p w:rsidR="004456DD" w:rsidRPr="00A86331" w:rsidRDefault="004456DD" w:rsidP="00A21B12">
            <w:pPr>
              <w:rPr>
                <w:i/>
                <w:color w:val="auto"/>
              </w:rPr>
            </w:pPr>
            <w:r w:rsidRPr="00A86331">
              <w:rPr>
                <w:i/>
                <w:color w:val="auto"/>
              </w:rPr>
              <w:t>Cleared by Legal and Finance</w:t>
            </w:r>
          </w:p>
        </w:tc>
        <w:tc>
          <w:tcPr>
            <w:tcW w:w="2551" w:type="dxa"/>
            <w:shd w:val="clear" w:color="auto" w:fill="auto"/>
          </w:tcPr>
          <w:p w:rsidR="004456DD" w:rsidRPr="00A86331" w:rsidRDefault="004456DD" w:rsidP="00A21B12">
            <w:pPr>
              <w:rPr>
                <w:color w:val="auto"/>
              </w:rPr>
            </w:pPr>
          </w:p>
        </w:tc>
      </w:tr>
      <w:tr w:rsidR="004456DD" w:rsidRPr="00A86331" w:rsidTr="0080749A">
        <w:tc>
          <w:tcPr>
            <w:tcW w:w="5342" w:type="dxa"/>
            <w:shd w:val="clear" w:color="auto" w:fill="auto"/>
          </w:tcPr>
          <w:p w:rsidR="004456DD" w:rsidRPr="00A86331" w:rsidRDefault="00A85B0E" w:rsidP="00A21B12">
            <w:pPr>
              <w:rPr>
                <w:b/>
                <w:color w:val="auto"/>
              </w:rPr>
            </w:pPr>
            <w:r w:rsidRPr="00A86331">
              <w:rPr>
                <w:b/>
                <w:color w:val="auto"/>
              </w:rPr>
              <w:t xml:space="preserve"> </w:t>
            </w:r>
            <w:r w:rsidR="004456DD" w:rsidRPr="00A86331">
              <w:rPr>
                <w:b/>
                <w:color w:val="auto"/>
              </w:rPr>
              <w:t>Organisational Draft:</w:t>
            </w:r>
          </w:p>
          <w:p w:rsidR="004456DD" w:rsidRPr="00A86331" w:rsidRDefault="004456DD" w:rsidP="00A21B12">
            <w:pPr>
              <w:rPr>
                <w:i/>
                <w:color w:val="auto"/>
              </w:rPr>
            </w:pPr>
            <w:r w:rsidRPr="00A86331">
              <w:rPr>
                <w:i/>
                <w:color w:val="auto"/>
              </w:rPr>
              <w:t>Cleared by the Chief Executive</w:t>
            </w:r>
          </w:p>
        </w:tc>
        <w:tc>
          <w:tcPr>
            <w:tcW w:w="2551" w:type="dxa"/>
            <w:shd w:val="clear" w:color="auto" w:fill="auto"/>
          </w:tcPr>
          <w:p w:rsidR="004456DD" w:rsidRPr="00A86331" w:rsidRDefault="004456DD" w:rsidP="00A21B12">
            <w:pPr>
              <w:rPr>
                <w:color w:val="auto"/>
              </w:rPr>
            </w:pPr>
          </w:p>
        </w:tc>
      </w:tr>
      <w:tr w:rsidR="004456DD" w:rsidRPr="00A86331" w:rsidTr="0080749A">
        <w:tc>
          <w:tcPr>
            <w:tcW w:w="5342" w:type="dxa"/>
            <w:shd w:val="clear" w:color="auto" w:fill="auto"/>
          </w:tcPr>
          <w:p w:rsidR="004456DD" w:rsidRPr="00A86331" w:rsidRDefault="004456DD" w:rsidP="00A21B12">
            <w:pPr>
              <w:rPr>
                <w:b/>
                <w:color w:val="auto"/>
              </w:rPr>
            </w:pPr>
            <w:r w:rsidRPr="00A86331">
              <w:rPr>
                <w:b/>
                <w:color w:val="auto"/>
              </w:rPr>
              <w:t>Final Draft:</w:t>
            </w:r>
          </w:p>
          <w:p w:rsidR="004456DD" w:rsidRPr="00A86331" w:rsidRDefault="004456DD" w:rsidP="00A21B12">
            <w:pPr>
              <w:rPr>
                <w:i/>
                <w:color w:val="auto"/>
              </w:rPr>
            </w:pPr>
            <w:r w:rsidRPr="00A86331">
              <w:rPr>
                <w:i/>
                <w:color w:val="auto"/>
              </w:rPr>
              <w:t>Cleared by the Board Member</w:t>
            </w:r>
          </w:p>
        </w:tc>
        <w:tc>
          <w:tcPr>
            <w:tcW w:w="2551" w:type="dxa"/>
            <w:shd w:val="clear" w:color="auto" w:fill="auto"/>
          </w:tcPr>
          <w:p w:rsidR="004456DD" w:rsidRPr="00A86331" w:rsidRDefault="004456DD" w:rsidP="00A21B12">
            <w:pPr>
              <w:rPr>
                <w:color w:val="auto"/>
              </w:rPr>
            </w:pPr>
          </w:p>
        </w:tc>
      </w:tr>
      <w:tr w:rsidR="004456DD" w:rsidRPr="00A86331" w:rsidTr="0080749A">
        <w:tc>
          <w:tcPr>
            <w:tcW w:w="5342" w:type="dxa"/>
            <w:shd w:val="clear" w:color="auto" w:fill="auto"/>
          </w:tcPr>
          <w:p w:rsidR="004456DD" w:rsidRPr="00A86331" w:rsidRDefault="004456DD" w:rsidP="00A21B12">
            <w:pPr>
              <w:rPr>
                <w:b/>
                <w:color w:val="auto"/>
              </w:rPr>
            </w:pPr>
            <w:r w:rsidRPr="00A86331">
              <w:rPr>
                <w:b/>
                <w:color w:val="auto"/>
              </w:rPr>
              <w:t>Final Report:</w:t>
            </w:r>
          </w:p>
          <w:p w:rsidR="004456DD" w:rsidRPr="00A86331" w:rsidRDefault="004456DD" w:rsidP="00A21B12">
            <w:pPr>
              <w:rPr>
                <w:i/>
                <w:color w:val="auto"/>
              </w:rPr>
            </w:pPr>
            <w:r w:rsidRPr="00A86331">
              <w:rPr>
                <w:i/>
                <w:color w:val="auto"/>
              </w:rPr>
              <w:t>Cleared by Labour Group</w:t>
            </w:r>
          </w:p>
        </w:tc>
        <w:tc>
          <w:tcPr>
            <w:tcW w:w="2551" w:type="dxa"/>
            <w:shd w:val="clear" w:color="auto" w:fill="auto"/>
          </w:tcPr>
          <w:p w:rsidR="004456DD" w:rsidRPr="00A86331" w:rsidRDefault="004456DD" w:rsidP="00A21B12">
            <w:pPr>
              <w:rPr>
                <w:color w:val="auto"/>
              </w:rPr>
            </w:pPr>
          </w:p>
        </w:tc>
      </w:tr>
    </w:tbl>
    <w:p w:rsidR="004456DD" w:rsidRPr="00A86331" w:rsidRDefault="004456DD" w:rsidP="0093067A">
      <w:pPr>
        <w:rPr>
          <w:color w:val="auto"/>
        </w:rPr>
      </w:pPr>
    </w:p>
    <w:p w:rsidR="00934E6B" w:rsidRPr="00A86331" w:rsidRDefault="00934E6B">
      <w:pPr>
        <w:rPr>
          <w:color w:val="auto"/>
        </w:rPr>
      </w:pPr>
    </w:p>
    <w:sectPr w:rsidR="00934E6B" w:rsidRPr="00A8633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A9F5B" w15:done="0"/>
  <w15:commentEx w15:paraId="29E03183" w15:done="0"/>
  <w15:commentEx w15:paraId="18D845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64" w:rsidRDefault="00631164" w:rsidP="004A6D2F">
      <w:r>
        <w:separator/>
      </w:r>
    </w:p>
  </w:endnote>
  <w:endnote w:type="continuationSeparator" w:id="0">
    <w:p w:rsidR="00631164" w:rsidRDefault="006311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64" w:rsidRDefault="00631164" w:rsidP="004A6D2F">
      <w:r>
        <w:separator/>
      </w:r>
    </w:p>
  </w:footnote>
  <w:footnote w:type="continuationSeparator" w:id="0">
    <w:p w:rsidR="00631164" w:rsidRDefault="006311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34D16" w:rsidP="00D5547E">
    <w:pPr>
      <w:pStyle w:val="Header"/>
      <w:jc w:val="right"/>
    </w:pPr>
    <w:r>
      <w:rPr>
        <w:noProof/>
      </w:rPr>
      <w:drawing>
        <wp:inline distT="0" distB="0" distL="0" distR="0" wp14:anchorId="1DE179BF" wp14:editId="6E084829">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A842898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1599D"/>
    <w:multiLevelType w:val="hybridMultilevel"/>
    <w:tmpl w:val="91E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7">
    <w:nsid w:val="798365C6"/>
    <w:multiLevelType w:val="multilevel"/>
    <w:tmpl w:val="E67CE66C"/>
    <w:numStyleLink w:val="StyleNumberedLeft0cmHanging075cm"/>
  </w:abstractNum>
  <w:num w:numId="1">
    <w:abstractNumId w:val="2"/>
  </w:num>
  <w:num w:numId="2">
    <w:abstractNumId w:val="37"/>
  </w:num>
  <w:num w:numId="3">
    <w:abstractNumId w:val="13"/>
  </w:num>
  <w:num w:numId="4">
    <w:abstractNumId w:val="3"/>
  </w:num>
  <w:num w:numId="5">
    <w:abstractNumId w:val="33"/>
  </w:num>
  <w:num w:numId="6">
    <w:abstractNumId w:val="31"/>
  </w:num>
  <w:num w:numId="7">
    <w:abstractNumId w:val="30"/>
  </w:num>
  <w:num w:numId="8">
    <w:abstractNumId w:val="14"/>
  </w:num>
  <w:num w:numId="9">
    <w:abstractNumId w:val="28"/>
  </w:num>
  <w:num w:numId="10">
    <w:abstractNumId w:val="6"/>
  </w:num>
  <w:num w:numId="11">
    <w:abstractNumId w:val="0"/>
  </w:num>
  <w:num w:numId="12">
    <w:abstractNumId w:val="7"/>
  </w:num>
  <w:num w:numId="13">
    <w:abstractNumId w:val="5"/>
  </w:num>
  <w:num w:numId="14">
    <w:abstractNumId w:val="27"/>
  </w:num>
  <w:num w:numId="15">
    <w:abstractNumId w:val="1"/>
  </w:num>
  <w:num w:numId="16">
    <w:abstractNumId w:val="35"/>
  </w:num>
  <w:num w:numId="17">
    <w:abstractNumId w:val="9"/>
  </w:num>
  <w:num w:numId="18">
    <w:abstractNumId w:val="29"/>
  </w:num>
  <w:num w:numId="19">
    <w:abstractNumId w:val="36"/>
  </w:num>
  <w:num w:numId="20">
    <w:abstractNumId w:val="23"/>
  </w:num>
  <w:num w:numId="21">
    <w:abstractNumId w:val="26"/>
  </w:num>
  <w:num w:numId="22">
    <w:abstractNumId w:val="10"/>
  </w:num>
  <w:num w:numId="23">
    <w:abstractNumId w:val="16"/>
  </w:num>
  <w:num w:numId="24">
    <w:abstractNumId w:val="32"/>
  </w:num>
  <w:num w:numId="25">
    <w:abstractNumId w:val="34"/>
  </w:num>
  <w:num w:numId="26">
    <w:abstractNumId w:val="19"/>
  </w:num>
  <w:num w:numId="27">
    <w:abstractNumId w:val="21"/>
  </w:num>
  <w:num w:numId="28">
    <w:abstractNumId w:val="12"/>
  </w:num>
  <w:num w:numId="29">
    <w:abstractNumId w:val="11"/>
  </w:num>
  <w:num w:numId="30">
    <w:abstractNumId w:val="20"/>
  </w:num>
  <w:num w:numId="31">
    <w:abstractNumId w:val="15"/>
  </w:num>
  <w:num w:numId="32">
    <w:abstractNumId w:val="18"/>
  </w:num>
  <w:num w:numId="33">
    <w:abstractNumId w:val="4"/>
  </w:num>
  <w:num w:numId="34">
    <w:abstractNumId w:val="17"/>
  </w:num>
  <w:num w:numId="35">
    <w:abstractNumId w:val="25"/>
  </w:num>
  <w:num w:numId="36">
    <w:abstractNumId w:val="8"/>
  </w:num>
  <w:num w:numId="37">
    <w:abstractNumId w:val="22"/>
  </w:num>
  <w:num w:numId="38">
    <w:abstractNumId w:val="2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443F"/>
    <w:rsid w:val="00055009"/>
    <w:rsid w:val="00056263"/>
    <w:rsid w:val="00056B8F"/>
    <w:rsid w:val="00060092"/>
    <w:rsid w:val="00064D8A"/>
    <w:rsid w:val="00064F82"/>
    <w:rsid w:val="00066510"/>
    <w:rsid w:val="00070E1A"/>
    <w:rsid w:val="0007293F"/>
    <w:rsid w:val="000753A8"/>
    <w:rsid w:val="00076268"/>
    <w:rsid w:val="00077523"/>
    <w:rsid w:val="000776FF"/>
    <w:rsid w:val="00081E30"/>
    <w:rsid w:val="00085B72"/>
    <w:rsid w:val="0009130F"/>
    <w:rsid w:val="000917F9"/>
    <w:rsid w:val="00092163"/>
    <w:rsid w:val="00093353"/>
    <w:rsid w:val="00096070"/>
    <w:rsid w:val="000A00A3"/>
    <w:rsid w:val="000A026F"/>
    <w:rsid w:val="000B5D37"/>
    <w:rsid w:val="000B6726"/>
    <w:rsid w:val="000B6A77"/>
    <w:rsid w:val="000B6C3C"/>
    <w:rsid w:val="000C089F"/>
    <w:rsid w:val="000C1A15"/>
    <w:rsid w:val="000C3928"/>
    <w:rsid w:val="000C4C93"/>
    <w:rsid w:val="000C5E8E"/>
    <w:rsid w:val="000C6280"/>
    <w:rsid w:val="000D16EF"/>
    <w:rsid w:val="000D5378"/>
    <w:rsid w:val="000D6E10"/>
    <w:rsid w:val="000D7112"/>
    <w:rsid w:val="000E0057"/>
    <w:rsid w:val="000E0560"/>
    <w:rsid w:val="000E0892"/>
    <w:rsid w:val="000E4222"/>
    <w:rsid w:val="000F2A7A"/>
    <w:rsid w:val="000F44CC"/>
    <w:rsid w:val="000F4751"/>
    <w:rsid w:val="000F4EBE"/>
    <w:rsid w:val="00100B3F"/>
    <w:rsid w:val="00103EAA"/>
    <w:rsid w:val="0010524C"/>
    <w:rsid w:val="0010611D"/>
    <w:rsid w:val="00106E1A"/>
    <w:rsid w:val="00111FB1"/>
    <w:rsid w:val="001121C1"/>
    <w:rsid w:val="0011263A"/>
    <w:rsid w:val="00113418"/>
    <w:rsid w:val="00117FD9"/>
    <w:rsid w:val="00120699"/>
    <w:rsid w:val="00121043"/>
    <w:rsid w:val="00124CD2"/>
    <w:rsid w:val="001356F1"/>
    <w:rsid w:val="00136994"/>
    <w:rsid w:val="00136EB8"/>
    <w:rsid w:val="00136FB7"/>
    <w:rsid w:val="0014128E"/>
    <w:rsid w:val="00141634"/>
    <w:rsid w:val="00151888"/>
    <w:rsid w:val="0015241C"/>
    <w:rsid w:val="001531B9"/>
    <w:rsid w:val="00153496"/>
    <w:rsid w:val="00153515"/>
    <w:rsid w:val="00155948"/>
    <w:rsid w:val="00156074"/>
    <w:rsid w:val="00160BAB"/>
    <w:rsid w:val="00162B63"/>
    <w:rsid w:val="001665D8"/>
    <w:rsid w:val="0017015E"/>
    <w:rsid w:val="001705FE"/>
    <w:rsid w:val="00170A2D"/>
    <w:rsid w:val="00170D87"/>
    <w:rsid w:val="001757B4"/>
    <w:rsid w:val="00177372"/>
    <w:rsid w:val="001808BC"/>
    <w:rsid w:val="00182B81"/>
    <w:rsid w:val="0018619D"/>
    <w:rsid w:val="001866BD"/>
    <w:rsid w:val="00187084"/>
    <w:rsid w:val="00187D58"/>
    <w:rsid w:val="0019019C"/>
    <w:rsid w:val="001944A2"/>
    <w:rsid w:val="0019563E"/>
    <w:rsid w:val="00195CA7"/>
    <w:rsid w:val="00197786"/>
    <w:rsid w:val="001A011E"/>
    <w:rsid w:val="001A066A"/>
    <w:rsid w:val="001A13E6"/>
    <w:rsid w:val="001A4DDB"/>
    <w:rsid w:val="001A5731"/>
    <w:rsid w:val="001A60BF"/>
    <w:rsid w:val="001B0394"/>
    <w:rsid w:val="001B42C3"/>
    <w:rsid w:val="001C1E83"/>
    <w:rsid w:val="001C5D5E"/>
    <w:rsid w:val="001D522C"/>
    <w:rsid w:val="001D678D"/>
    <w:rsid w:val="001D6B95"/>
    <w:rsid w:val="001D7960"/>
    <w:rsid w:val="001E03F8"/>
    <w:rsid w:val="001E1678"/>
    <w:rsid w:val="001E3376"/>
    <w:rsid w:val="001E373D"/>
    <w:rsid w:val="001E54EC"/>
    <w:rsid w:val="001E5C62"/>
    <w:rsid w:val="001E5C87"/>
    <w:rsid w:val="001F04F3"/>
    <w:rsid w:val="001F073F"/>
    <w:rsid w:val="001F2192"/>
    <w:rsid w:val="002018CC"/>
    <w:rsid w:val="00205EF0"/>
    <w:rsid w:val="00206053"/>
    <w:rsid w:val="002069B3"/>
    <w:rsid w:val="00206B28"/>
    <w:rsid w:val="00211440"/>
    <w:rsid w:val="002118D6"/>
    <w:rsid w:val="00213A89"/>
    <w:rsid w:val="00215DC1"/>
    <w:rsid w:val="00216AA4"/>
    <w:rsid w:val="00216D87"/>
    <w:rsid w:val="00217CBC"/>
    <w:rsid w:val="00221C73"/>
    <w:rsid w:val="00223D22"/>
    <w:rsid w:val="00224C93"/>
    <w:rsid w:val="002255C7"/>
    <w:rsid w:val="002256CA"/>
    <w:rsid w:val="002301B9"/>
    <w:rsid w:val="002329CF"/>
    <w:rsid w:val="00232F5B"/>
    <w:rsid w:val="00244FEC"/>
    <w:rsid w:val="00246CCD"/>
    <w:rsid w:val="00247C29"/>
    <w:rsid w:val="00250D64"/>
    <w:rsid w:val="00256350"/>
    <w:rsid w:val="00260467"/>
    <w:rsid w:val="00261D35"/>
    <w:rsid w:val="00263EA3"/>
    <w:rsid w:val="00265217"/>
    <w:rsid w:val="00265BB1"/>
    <w:rsid w:val="002665C2"/>
    <w:rsid w:val="0028004E"/>
    <w:rsid w:val="00284F85"/>
    <w:rsid w:val="00285D6F"/>
    <w:rsid w:val="002873F1"/>
    <w:rsid w:val="00287FB6"/>
    <w:rsid w:val="00290915"/>
    <w:rsid w:val="00292C57"/>
    <w:rsid w:val="002A15EC"/>
    <w:rsid w:val="002A22E2"/>
    <w:rsid w:val="002A5FEB"/>
    <w:rsid w:val="002A6BE1"/>
    <w:rsid w:val="002A7109"/>
    <w:rsid w:val="002B3A96"/>
    <w:rsid w:val="002C45FC"/>
    <w:rsid w:val="002C556E"/>
    <w:rsid w:val="002C64F7"/>
    <w:rsid w:val="002C7D93"/>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2698D"/>
    <w:rsid w:val="003301E7"/>
    <w:rsid w:val="00333AD9"/>
    <w:rsid w:val="0033417C"/>
    <w:rsid w:val="003357BF"/>
    <w:rsid w:val="00340275"/>
    <w:rsid w:val="00343DA0"/>
    <w:rsid w:val="003450F2"/>
    <w:rsid w:val="00360AA3"/>
    <w:rsid w:val="0036290C"/>
    <w:rsid w:val="00364FAD"/>
    <w:rsid w:val="0036738F"/>
    <w:rsid w:val="0036759C"/>
    <w:rsid w:val="00367AE5"/>
    <w:rsid w:val="00367D71"/>
    <w:rsid w:val="0037202D"/>
    <w:rsid w:val="003745E0"/>
    <w:rsid w:val="0038150A"/>
    <w:rsid w:val="00386CF0"/>
    <w:rsid w:val="00390138"/>
    <w:rsid w:val="0039198D"/>
    <w:rsid w:val="003936BA"/>
    <w:rsid w:val="00395F98"/>
    <w:rsid w:val="0039720B"/>
    <w:rsid w:val="003974D3"/>
    <w:rsid w:val="003A35E7"/>
    <w:rsid w:val="003A55C4"/>
    <w:rsid w:val="003A74EF"/>
    <w:rsid w:val="003B31C6"/>
    <w:rsid w:val="003B6E75"/>
    <w:rsid w:val="003B7DA1"/>
    <w:rsid w:val="003C0094"/>
    <w:rsid w:val="003C2354"/>
    <w:rsid w:val="003C3612"/>
    <w:rsid w:val="003C5241"/>
    <w:rsid w:val="003C619C"/>
    <w:rsid w:val="003D0379"/>
    <w:rsid w:val="003D2574"/>
    <w:rsid w:val="003D4C59"/>
    <w:rsid w:val="003D70E3"/>
    <w:rsid w:val="003E19A9"/>
    <w:rsid w:val="003E74D0"/>
    <w:rsid w:val="003E75E2"/>
    <w:rsid w:val="003F4267"/>
    <w:rsid w:val="003F44B1"/>
    <w:rsid w:val="003F50F9"/>
    <w:rsid w:val="003F7042"/>
    <w:rsid w:val="00404032"/>
    <w:rsid w:val="0040736F"/>
    <w:rsid w:val="00407BA5"/>
    <w:rsid w:val="004101A3"/>
    <w:rsid w:val="00412C1F"/>
    <w:rsid w:val="00413512"/>
    <w:rsid w:val="004169B8"/>
    <w:rsid w:val="00420868"/>
    <w:rsid w:val="00421CB2"/>
    <w:rsid w:val="004268B9"/>
    <w:rsid w:val="0042754C"/>
    <w:rsid w:val="00431551"/>
    <w:rsid w:val="004332E4"/>
    <w:rsid w:val="00433B96"/>
    <w:rsid w:val="00434790"/>
    <w:rsid w:val="00434D16"/>
    <w:rsid w:val="004440F1"/>
    <w:rsid w:val="004455BC"/>
    <w:rsid w:val="004456DD"/>
    <w:rsid w:val="00446085"/>
    <w:rsid w:val="00446CDF"/>
    <w:rsid w:val="00451FB4"/>
    <w:rsid w:val="004521B7"/>
    <w:rsid w:val="0045613A"/>
    <w:rsid w:val="0045731F"/>
    <w:rsid w:val="00457CEF"/>
    <w:rsid w:val="00462AB5"/>
    <w:rsid w:val="00465EAF"/>
    <w:rsid w:val="0047351F"/>
    <w:rsid w:val="004738C5"/>
    <w:rsid w:val="004768FC"/>
    <w:rsid w:val="00477871"/>
    <w:rsid w:val="00477A97"/>
    <w:rsid w:val="00480B15"/>
    <w:rsid w:val="00487A8A"/>
    <w:rsid w:val="00490996"/>
    <w:rsid w:val="00491046"/>
    <w:rsid w:val="0049449D"/>
    <w:rsid w:val="004945B4"/>
    <w:rsid w:val="0049617B"/>
    <w:rsid w:val="00497A27"/>
    <w:rsid w:val="004A2AC7"/>
    <w:rsid w:val="004A3EAE"/>
    <w:rsid w:val="004A6D2F"/>
    <w:rsid w:val="004B5708"/>
    <w:rsid w:val="004B6807"/>
    <w:rsid w:val="004B6F4D"/>
    <w:rsid w:val="004C195A"/>
    <w:rsid w:val="004C2887"/>
    <w:rsid w:val="004C6918"/>
    <w:rsid w:val="004D0FD0"/>
    <w:rsid w:val="004D1B2B"/>
    <w:rsid w:val="004D2626"/>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11D41"/>
    <w:rsid w:val="00512F4E"/>
    <w:rsid w:val="00524E1F"/>
    <w:rsid w:val="00526949"/>
    <w:rsid w:val="005300D5"/>
    <w:rsid w:val="00536537"/>
    <w:rsid w:val="005367B7"/>
    <w:rsid w:val="00536A53"/>
    <w:rsid w:val="005422B3"/>
    <w:rsid w:val="0054712D"/>
    <w:rsid w:val="00547EF6"/>
    <w:rsid w:val="0055120B"/>
    <w:rsid w:val="005570B5"/>
    <w:rsid w:val="005571E3"/>
    <w:rsid w:val="005603CD"/>
    <w:rsid w:val="005671FE"/>
    <w:rsid w:val="00567E18"/>
    <w:rsid w:val="00571969"/>
    <w:rsid w:val="00572110"/>
    <w:rsid w:val="00575F5F"/>
    <w:rsid w:val="00581805"/>
    <w:rsid w:val="005818C8"/>
    <w:rsid w:val="00585F76"/>
    <w:rsid w:val="00594AE5"/>
    <w:rsid w:val="005A022D"/>
    <w:rsid w:val="005A34E4"/>
    <w:rsid w:val="005A3D65"/>
    <w:rsid w:val="005A7A7A"/>
    <w:rsid w:val="005B17F2"/>
    <w:rsid w:val="005B215D"/>
    <w:rsid w:val="005B264D"/>
    <w:rsid w:val="005B55EF"/>
    <w:rsid w:val="005B7FB0"/>
    <w:rsid w:val="005C1127"/>
    <w:rsid w:val="005C35A5"/>
    <w:rsid w:val="005C447B"/>
    <w:rsid w:val="005C577C"/>
    <w:rsid w:val="005D0621"/>
    <w:rsid w:val="005D1E27"/>
    <w:rsid w:val="005D2444"/>
    <w:rsid w:val="005D2A3E"/>
    <w:rsid w:val="005D58A0"/>
    <w:rsid w:val="005D76D6"/>
    <w:rsid w:val="005E022E"/>
    <w:rsid w:val="005E288E"/>
    <w:rsid w:val="005E5215"/>
    <w:rsid w:val="005E6A9E"/>
    <w:rsid w:val="005F3275"/>
    <w:rsid w:val="005F7F7E"/>
    <w:rsid w:val="00603608"/>
    <w:rsid w:val="00604162"/>
    <w:rsid w:val="00604A65"/>
    <w:rsid w:val="00604B4C"/>
    <w:rsid w:val="0060572C"/>
    <w:rsid w:val="00614693"/>
    <w:rsid w:val="00614AE0"/>
    <w:rsid w:val="00614D6B"/>
    <w:rsid w:val="006151ED"/>
    <w:rsid w:val="0062244A"/>
    <w:rsid w:val="00623C2F"/>
    <w:rsid w:val="00624C75"/>
    <w:rsid w:val="00627684"/>
    <w:rsid w:val="00630B28"/>
    <w:rsid w:val="00631164"/>
    <w:rsid w:val="0063229F"/>
    <w:rsid w:val="00633578"/>
    <w:rsid w:val="006357FD"/>
    <w:rsid w:val="00637068"/>
    <w:rsid w:val="00640B28"/>
    <w:rsid w:val="0064625F"/>
    <w:rsid w:val="0064756A"/>
    <w:rsid w:val="00650642"/>
    <w:rsid w:val="00650811"/>
    <w:rsid w:val="00656353"/>
    <w:rsid w:val="006600EF"/>
    <w:rsid w:val="00660B15"/>
    <w:rsid w:val="00661D3E"/>
    <w:rsid w:val="0067298D"/>
    <w:rsid w:val="00673910"/>
    <w:rsid w:val="00675219"/>
    <w:rsid w:val="00676725"/>
    <w:rsid w:val="00692627"/>
    <w:rsid w:val="006927FE"/>
    <w:rsid w:val="0069653D"/>
    <w:rsid w:val="006969E7"/>
    <w:rsid w:val="00697F53"/>
    <w:rsid w:val="006A03DC"/>
    <w:rsid w:val="006A3643"/>
    <w:rsid w:val="006B6ED9"/>
    <w:rsid w:val="006B7532"/>
    <w:rsid w:val="006B79D4"/>
    <w:rsid w:val="006B7F04"/>
    <w:rsid w:val="006C2A29"/>
    <w:rsid w:val="006C483B"/>
    <w:rsid w:val="006C64CF"/>
    <w:rsid w:val="006C6A27"/>
    <w:rsid w:val="006D0615"/>
    <w:rsid w:val="006D17B1"/>
    <w:rsid w:val="006D1FD7"/>
    <w:rsid w:val="006D4752"/>
    <w:rsid w:val="006D486C"/>
    <w:rsid w:val="006D4FA4"/>
    <w:rsid w:val="006D708A"/>
    <w:rsid w:val="006E14C1"/>
    <w:rsid w:val="006E2CD5"/>
    <w:rsid w:val="006E4B8F"/>
    <w:rsid w:val="006E57B1"/>
    <w:rsid w:val="006F0292"/>
    <w:rsid w:val="006F27FA"/>
    <w:rsid w:val="006F36C9"/>
    <w:rsid w:val="006F416B"/>
    <w:rsid w:val="006F4D93"/>
    <w:rsid w:val="006F519B"/>
    <w:rsid w:val="006F6DC5"/>
    <w:rsid w:val="006F7CC4"/>
    <w:rsid w:val="00703A6A"/>
    <w:rsid w:val="00703F5D"/>
    <w:rsid w:val="007114CD"/>
    <w:rsid w:val="00713675"/>
    <w:rsid w:val="00715823"/>
    <w:rsid w:val="00717CF8"/>
    <w:rsid w:val="007201B8"/>
    <w:rsid w:val="0073065E"/>
    <w:rsid w:val="007333C3"/>
    <w:rsid w:val="00737B93"/>
    <w:rsid w:val="0074211E"/>
    <w:rsid w:val="00745BF0"/>
    <w:rsid w:val="0075545F"/>
    <w:rsid w:val="00756358"/>
    <w:rsid w:val="0075664A"/>
    <w:rsid w:val="007615FE"/>
    <w:rsid w:val="0076287E"/>
    <w:rsid w:val="00763052"/>
    <w:rsid w:val="00764912"/>
    <w:rsid w:val="0076655C"/>
    <w:rsid w:val="00773D35"/>
    <w:rsid w:val="00773F4F"/>
    <w:rsid w:val="007742DC"/>
    <w:rsid w:val="00775283"/>
    <w:rsid w:val="0078327B"/>
    <w:rsid w:val="007839B9"/>
    <w:rsid w:val="00784171"/>
    <w:rsid w:val="00784884"/>
    <w:rsid w:val="007907D7"/>
    <w:rsid w:val="00791437"/>
    <w:rsid w:val="0079321F"/>
    <w:rsid w:val="007A7638"/>
    <w:rsid w:val="007B0C2C"/>
    <w:rsid w:val="007B0F89"/>
    <w:rsid w:val="007B12FE"/>
    <w:rsid w:val="007B278E"/>
    <w:rsid w:val="007B4395"/>
    <w:rsid w:val="007C0580"/>
    <w:rsid w:val="007C282E"/>
    <w:rsid w:val="007C42D2"/>
    <w:rsid w:val="007C51F2"/>
    <w:rsid w:val="007C5C23"/>
    <w:rsid w:val="007D1829"/>
    <w:rsid w:val="007D2F26"/>
    <w:rsid w:val="007D3AC2"/>
    <w:rsid w:val="007D5AC3"/>
    <w:rsid w:val="007E0F4C"/>
    <w:rsid w:val="007E28E1"/>
    <w:rsid w:val="007E2A26"/>
    <w:rsid w:val="007E64F0"/>
    <w:rsid w:val="007E7D96"/>
    <w:rsid w:val="007F2348"/>
    <w:rsid w:val="007F4328"/>
    <w:rsid w:val="00803F07"/>
    <w:rsid w:val="008050A5"/>
    <w:rsid w:val="0080749A"/>
    <w:rsid w:val="008074F3"/>
    <w:rsid w:val="008077DD"/>
    <w:rsid w:val="00814689"/>
    <w:rsid w:val="008159AF"/>
    <w:rsid w:val="008161BB"/>
    <w:rsid w:val="00817482"/>
    <w:rsid w:val="00821FB8"/>
    <w:rsid w:val="00822ACD"/>
    <w:rsid w:val="008336DC"/>
    <w:rsid w:val="0083382B"/>
    <w:rsid w:val="00836AE5"/>
    <w:rsid w:val="00843591"/>
    <w:rsid w:val="008516F4"/>
    <w:rsid w:val="00854074"/>
    <w:rsid w:val="00855C66"/>
    <w:rsid w:val="008575E2"/>
    <w:rsid w:val="00860C96"/>
    <w:rsid w:val="00864061"/>
    <w:rsid w:val="00871C32"/>
    <w:rsid w:val="00871EE4"/>
    <w:rsid w:val="00875823"/>
    <w:rsid w:val="00876831"/>
    <w:rsid w:val="00883BD0"/>
    <w:rsid w:val="0088458C"/>
    <w:rsid w:val="00885E16"/>
    <w:rsid w:val="00886F33"/>
    <w:rsid w:val="00891372"/>
    <w:rsid w:val="0089212D"/>
    <w:rsid w:val="008B1387"/>
    <w:rsid w:val="008B293F"/>
    <w:rsid w:val="008B305E"/>
    <w:rsid w:val="008B4023"/>
    <w:rsid w:val="008B6745"/>
    <w:rsid w:val="008B7371"/>
    <w:rsid w:val="008B769E"/>
    <w:rsid w:val="008C2114"/>
    <w:rsid w:val="008D1A3C"/>
    <w:rsid w:val="008D3DDB"/>
    <w:rsid w:val="008D3FE6"/>
    <w:rsid w:val="008D5B32"/>
    <w:rsid w:val="008F094F"/>
    <w:rsid w:val="008F573F"/>
    <w:rsid w:val="008F6E30"/>
    <w:rsid w:val="008F7357"/>
    <w:rsid w:val="009033DA"/>
    <w:rsid w:val="009034EC"/>
    <w:rsid w:val="00905148"/>
    <w:rsid w:val="00912200"/>
    <w:rsid w:val="009150B3"/>
    <w:rsid w:val="00916A6C"/>
    <w:rsid w:val="009208BD"/>
    <w:rsid w:val="009210B1"/>
    <w:rsid w:val="009212B2"/>
    <w:rsid w:val="00923390"/>
    <w:rsid w:val="0093067A"/>
    <w:rsid w:val="00934D30"/>
    <w:rsid w:val="00934E6B"/>
    <w:rsid w:val="009367F2"/>
    <w:rsid w:val="009370F6"/>
    <w:rsid w:val="009372F1"/>
    <w:rsid w:val="0094198E"/>
    <w:rsid w:val="00941C60"/>
    <w:rsid w:val="00942C78"/>
    <w:rsid w:val="00946452"/>
    <w:rsid w:val="009464E4"/>
    <w:rsid w:val="0095091F"/>
    <w:rsid w:val="00953A87"/>
    <w:rsid w:val="009559D8"/>
    <w:rsid w:val="00956A10"/>
    <w:rsid w:val="00957365"/>
    <w:rsid w:val="00964187"/>
    <w:rsid w:val="00965E39"/>
    <w:rsid w:val="00966D42"/>
    <w:rsid w:val="00971689"/>
    <w:rsid w:val="00973E90"/>
    <w:rsid w:val="00975B07"/>
    <w:rsid w:val="00980B4A"/>
    <w:rsid w:val="0099724D"/>
    <w:rsid w:val="009A2E0A"/>
    <w:rsid w:val="009A6F8A"/>
    <w:rsid w:val="009B0200"/>
    <w:rsid w:val="009B0344"/>
    <w:rsid w:val="009B11F3"/>
    <w:rsid w:val="009B381B"/>
    <w:rsid w:val="009B4BFF"/>
    <w:rsid w:val="009B589B"/>
    <w:rsid w:val="009B6167"/>
    <w:rsid w:val="009B6D80"/>
    <w:rsid w:val="009C0CE9"/>
    <w:rsid w:val="009D275F"/>
    <w:rsid w:val="009D4197"/>
    <w:rsid w:val="009D6A02"/>
    <w:rsid w:val="009D7094"/>
    <w:rsid w:val="009E1E1D"/>
    <w:rsid w:val="009E3D0A"/>
    <w:rsid w:val="009E47A0"/>
    <w:rsid w:val="009E4858"/>
    <w:rsid w:val="009E51FC"/>
    <w:rsid w:val="009F1D28"/>
    <w:rsid w:val="009F48C5"/>
    <w:rsid w:val="009F6EEC"/>
    <w:rsid w:val="009F7618"/>
    <w:rsid w:val="00A01420"/>
    <w:rsid w:val="00A04D23"/>
    <w:rsid w:val="00A06766"/>
    <w:rsid w:val="00A13765"/>
    <w:rsid w:val="00A17BAD"/>
    <w:rsid w:val="00A21B12"/>
    <w:rsid w:val="00A23CB8"/>
    <w:rsid w:val="00A23F80"/>
    <w:rsid w:val="00A36624"/>
    <w:rsid w:val="00A40E02"/>
    <w:rsid w:val="00A40EFD"/>
    <w:rsid w:val="00A46404"/>
    <w:rsid w:val="00A46CED"/>
    <w:rsid w:val="00A46E98"/>
    <w:rsid w:val="00A50727"/>
    <w:rsid w:val="00A51D06"/>
    <w:rsid w:val="00A51D23"/>
    <w:rsid w:val="00A52418"/>
    <w:rsid w:val="00A52A1D"/>
    <w:rsid w:val="00A53FA6"/>
    <w:rsid w:val="00A6352B"/>
    <w:rsid w:val="00A701B5"/>
    <w:rsid w:val="00A714BB"/>
    <w:rsid w:val="00A77659"/>
    <w:rsid w:val="00A77CF6"/>
    <w:rsid w:val="00A82AF9"/>
    <w:rsid w:val="00A84593"/>
    <w:rsid w:val="00A85B0E"/>
    <w:rsid w:val="00A86331"/>
    <w:rsid w:val="00A91B9B"/>
    <w:rsid w:val="00A9244B"/>
    <w:rsid w:val="00A92D8F"/>
    <w:rsid w:val="00A93767"/>
    <w:rsid w:val="00A94633"/>
    <w:rsid w:val="00A94C30"/>
    <w:rsid w:val="00AB1CBD"/>
    <w:rsid w:val="00AB1CFD"/>
    <w:rsid w:val="00AB2988"/>
    <w:rsid w:val="00AB41E6"/>
    <w:rsid w:val="00AB77E5"/>
    <w:rsid w:val="00AB7999"/>
    <w:rsid w:val="00AC4174"/>
    <w:rsid w:val="00AC453A"/>
    <w:rsid w:val="00AC5333"/>
    <w:rsid w:val="00AC650C"/>
    <w:rsid w:val="00AC659B"/>
    <w:rsid w:val="00AD204C"/>
    <w:rsid w:val="00AD3292"/>
    <w:rsid w:val="00AD4EDC"/>
    <w:rsid w:val="00AD5C28"/>
    <w:rsid w:val="00AD6658"/>
    <w:rsid w:val="00AE4091"/>
    <w:rsid w:val="00AE7AF0"/>
    <w:rsid w:val="00AF0BDE"/>
    <w:rsid w:val="00AF11E9"/>
    <w:rsid w:val="00AF447C"/>
    <w:rsid w:val="00AF575F"/>
    <w:rsid w:val="00AF6923"/>
    <w:rsid w:val="00AF7780"/>
    <w:rsid w:val="00AF7E6D"/>
    <w:rsid w:val="00B00BEA"/>
    <w:rsid w:val="00B0125D"/>
    <w:rsid w:val="00B01E78"/>
    <w:rsid w:val="00B02C0B"/>
    <w:rsid w:val="00B07C1C"/>
    <w:rsid w:val="00B26878"/>
    <w:rsid w:val="00B277ED"/>
    <w:rsid w:val="00B32389"/>
    <w:rsid w:val="00B364BC"/>
    <w:rsid w:val="00B40045"/>
    <w:rsid w:val="00B40416"/>
    <w:rsid w:val="00B40646"/>
    <w:rsid w:val="00B44424"/>
    <w:rsid w:val="00B46B4D"/>
    <w:rsid w:val="00B500CA"/>
    <w:rsid w:val="00B53FB6"/>
    <w:rsid w:val="00B57C29"/>
    <w:rsid w:val="00B6503D"/>
    <w:rsid w:val="00B732B4"/>
    <w:rsid w:val="00B73D1D"/>
    <w:rsid w:val="00B80341"/>
    <w:rsid w:val="00B8084E"/>
    <w:rsid w:val="00B80C36"/>
    <w:rsid w:val="00B83494"/>
    <w:rsid w:val="00B84D7D"/>
    <w:rsid w:val="00B86314"/>
    <w:rsid w:val="00B93514"/>
    <w:rsid w:val="00BA0971"/>
    <w:rsid w:val="00BA1C2E"/>
    <w:rsid w:val="00BA597C"/>
    <w:rsid w:val="00BB0B31"/>
    <w:rsid w:val="00BB12F0"/>
    <w:rsid w:val="00BB481D"/>
    <w:rsid w:val="00BB483E"/>
    <w:rsid w:val="00BB7178"/>
    <w:rsid w:val="00BC200B"/>
    <w:rsid w:val="00BC4756"/>
    <w:rsid w:val="00BC69A4"/>
    <w:rsid w:val="00BD3A56"/>
    <w:rsid w:val="00BD3B6D"/>
    <w:rsid w:val="00BD41E4"/>
    <w:rsid w:val="00BE0680"/>
    <w:rsid w:val="00BE305F"/>
    <w:rsid w:val="00BE4002"/>
    <w:rsid w:val="00BE5A97"/>
    <w:rsid w:val="00BE5B8E"/>
    <w:rsid w:val="00BE7BA3"/>
    <w:rsid w:val="00BF1D16"/>
    <w:rsid w:val="00BF2AF4"/>
    <w:rsid w:val="00BF4935"/>
    <w:rsid w:val="00BF5682"/>
    <w:rsid w:val="00BF7B09"/>
    <w:rsid w:val="00C00652"/>
    <w:rsid w:val="00C016F6"/>
    <w:rsid w:val="00C05923"/>
    <w:rsid w:val="00C11950"/>
    <w:rsid w:val="00C12317"/>
    <w:rsid w:val="00C1237A"/>
    <w:rsid w:val="00C13033"/>
    <w:rsid w:val="00C13B7D"/>
    <w:rsid w:val="00C1561B"/>
    <w:rsid w:val="00C169D7"/>
    <w:rsid w:val="00C20A95"/>
    <w:rsid w:val="00C23F79"/>
    <w:rsid w:val="00C25AD8"/>
    <w:rsid w:val="00C2674F"/>
    <w:rsid w:val="00C2692F"/>
    <w:rsid w:val="00C30B63"/>
    <w:rsid w:val="00C3207C"/>
    <w:rsid w:val="00C32BA9"/>
    <w:rsid w:val="00C32BB4"/>
    <w:rsid w:val="00C400E1"/>
    <w:rsid w:val="00C41187"/>
    <w:rsid w:val="00C433D5"/>
    <w:rsid w:val="00C45ECB"/>
    <w:rsid w:val="00C45FC7"/>
    <w:rsid w:val="00C46E95"/>
    <w:rsid w:val="00C47889"/>
    <w:rsid w:val="00C63C31"/>
    <w:rsid w:val="00C661F5"/>
    <w:rsid w:val="00C72FE8"/>
    <w:rsid w:val="00C73206"/>
    <w:rsid w:val="00C733A4"/>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B22FB"/>
    <w:rsid w:val="00CB3198"/>
    <w:rsid w:val="00CB5E77"/>
    <w:rsid w:val="00CB6B99"/>
    <w:rsid w:val="00CC118B"/>
    <w:rsid w:val="00CC2459"/>
    <w:rsid w:val="00CC2837"/>
    <w:rsid w:val="00CC59C6"/>
    <w:rsid w:val="00CD13DE"/>
    <w:rsid w:val="00CD2586"/>
    <w:rsid w:val="00CD6231"/>
    <w:rsid w:val="00CE2295"/>
    <w:rsid w:val="00CE22BA"/>
    <w:rsid w:val="00CE35E3"/>
    <w:rsid w:val="00CE38D2"/>
    <w:rsid w:val="00CE4C87"/>
    <w:rsid w:val="00CE544A"/>
    <w:rsid w:val="00CE6D84"/>
    <w:rsid w:val="00CF32A7"/>
    <w:rsid w:val="00CF4E15"/>
    <w:rsid w:val="00D02009"/>
    <w:rsid w:val="00D11622"/>
    <w:rsid w:val="00D11E1C"/>
    <w:rsid w:val="00D12262"/>
    <w:rsid w:val="00D160B0"/>
    <w:rsid w:val="00D163D7"/>
    <w:rsid w:val="00D16B20"/>
    <w:rsid w:val="00D17F94"/>
    <w:rsid w:val="00D209CA"/>
    <w:rsid w:val="00D223FC"/>
    <w:rsid w:val="00D22960"/>
    <w:rsid w:val="00D241FF"/>
    <w:rsid w:val="00D25A03"/>
    <w:rsid w:val="00D26D1E"/>
    <w:rsid w:val="00D3622B"/>
    <w:rsid w:val="00D4040D"/>
    <w:rsid w:val="00D45E2B"/>
    <w:rsid w:val="00D474CF"/>
    <w:rsid w:val="00D51A4D"/>
    <w:rsid w:val="00D54C87"/>
    <w:rsid w:val="00D5547E"/>
    <w:rsid w:val="00D563F6"/>
    <w:rsid w:val="00D56E95"/>
    <w:rsid w:val="00D71DDE"/>
    <w:rsid w:val="00D7667D"/>
    <w:rsid w:val="00D76AA5"/>
    <w:rsid w:val="00D77751"/>
    <w:rsid w:val="00D819B3"/>
    <w:rsid w:val="00D82027"/>
    <w:rsid w:val="00D869A1"/>
    <w:rsid w:val="00D905C7"/>
    <w:rsid w:val="00D9110B"/>
    <w:rsid w:val="00DA413F"/>
    <w:rsid w:val="00DA4584"/>
    <w:rsid w:val="00DA614B"/>
    <w:rsid w:val="00DA74DA"/>
    <w:rsid w:val="00DB0200"/>
    <w:rsid w:val="00DB13DB"/>
    <w:rsid w:val="00DB40A3"/>
    <w:rsid w:val="00DB5E73"/>
    <w:rsid w:val="00DC1F43"/>
    <w:rsid w:val="00DC23A9"/>
    <w:rsid w:val="00DC3060"/>
    <w:rsid w:val="00DD03F8"/>
    <w:rsid w:val="00DD2353"/>
    <w:rsid w:val="00DD2B83"/>
    <w:rsid w:val="00DD512B"/>
    <w:rsid w:val="00DD54A8"/>
    <w:rsid w:val="00DD722C"/>
    <w:rsid w:val="00DE041F"/>
    <w:rsid w:val="00DE08E5"/>
    <w:rsid w:val="00DE0FB2"/>
    <w:rsid w:val="00DE2F66"/>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37E85"/>
    <w:rsid w:val="00E40753"/>
    <w:rsid w:val="00E41F54"/>
    <w:rsid w:val="00E42EBA"/>
    <w:rsid w:val="00E45179"/>
    <w:rsid w:val="00E52086"/>
    <w:rsid w:val="00E543A6"/>
    <w:rsid w:val="00E54D43"/>
    <w:rsid w:val="00E57026"/>
    <w:rsid w:val="00E6010D"/>
    <w:rsid w:val="00E60479"/>
    <w:rsid w:val="00E605C7"/>
    <w:rsid w:val="00E61D73"/>
    <w:rsid w:val="00E64E47"/>
    <w:rsid w:val="00E73684"/>
    <w:rsid w:val="00E818D6"/>
    <w:rsid w:val="00E835AB"/>
    <w:rsid w:val="00E83E04"/>
    <w:rsid w:val="00E8497C"/>
    <w:rsid w:val="00E854A0"/>
    <w:rsid w:val="00E87F7A"/>
    <w:rsid w:val="00E93B26"/>
    <w:rsid w:val="00E96BD7"/>
    <w:rsid w:val="00E96D58"/>
    <w:rsid w:val="00EA0DB1"/>
    <w:rsid w:val="00EA0EE9"/>
    <w:rsid w:val="00EA3130"/>
    <w:rsid w:val="00EA41DD"/>
    <w:rsid w:val="00EA7FF7"/>
    <w:rsid w:val="00EB068A"/>
    <w:rsid w:val="00EB1DA7"/>
    <w:rsid w:val="00EB54FB"/>
    <w:rsid w:val="00EB5BD4"/>
    <w:rsid w:val="00EB66F1"/>
    <w:rsid w:val="00EC7FEC"/>
    <w:rsid w:val="00ED1345"/>
    <w:rsid w:val="00ED52CA"/>
    <w:rsid w:val="00ED5860"/>
    <w:rsid w:val="00EE1B74"/>
    <w:rsid w:val="00EE35C9"/>
    <w:rsid w:val="00EE39AE"/>
    <w:rsid w:val="00EF4198"/>
    <w:rsid w:val="00F0438B"/>
    <w:rsid w:val="00F05ECA"/>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CCD"/>
    <w:rsid w:val="00F50D59"/>
    <w:rsid w:val="00F52E15"/>
    <w:rsid w:val="00F57900"/>
    <w:rsid w:val="00F66DCA"/>
    <w:rsid w:val="00F67E17"/>
    <w:rsid w:val="00F74F53"/>
    <w:rsid w:val="00F75549"/>
    <w:rsid w:val="00F7606D"/>
    <w:rsid w:val="00F77F98"/>
    <w:rsid w:val="00F81670"/>
    <w:rsid w:val="00F82024"/>
    <w:rsid w:val="00F8266B"/>
    <w:rsid w:val="00F82D52"/>
    <w:rsid w:val="00F93E8D"/>
    <w:rsid w:val="00F95BC9"/>
    <w:rsid w:val="00F96A87"/>
    <w:rsid w:val="00F97C01"/>
    <w:rsid w:val="00FA0868"/>
    <w:rsid w:val="00FA0C2D"/>
    <w:rsid w:val="00FA385D"/>
    <w:rsid w:val="00FA4A8D"/>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483D-4211-48A3-A496-B8047D87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2960</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4</cp:revision>
  <cp:lastPrinted>2017-05-22T09:02:00Z</cp:lastPrinted>
  <dcterms:created xsi:type="dcterms:W3CDTF">2017-05-23T11:59:00Z</dcterms:created>
  <dcterms:modified xsi:type="dcterms:W3CDTF">2017-06-27T15:38:00Z</dcterms:modified>
</cp:coreProperties>
</file>